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0C01A">
      <w:pPr>
        <w:widowControl/>
        <w:jc w:val="center"/>
        <w:rPr>
          <w:rFonts w:hint="eastAsia" w:ascii="黑体" w:hAnsi="宋体" w:eastAsia="黑体" w:cs="黑体"/>
          <w:color w:val="000000"/>
          <w:kern w:val="0"/>
          <w:sz w:val="43"/>
          <w:szCs w:val="43"/>
          <w:lang w:bidi="ar"/>
        </w:rPr>
      </w:pPr>
      <w:bookmarkStart w:id="1" w:name="_GoBack"/>
      <w:bookmarkEnd w:id="1"/>
      <w:r>
        <w:rPr>
          <w:rFonts w:ascii="黑体" w:hAnsi="宋体" w:eastAsia="黑体" w:cs="黑体"/>
          <w:color w:val="000000"/>
          <w:kern w:val="0"/>
          <w:sz w:val="43"/>
          <w:szCs w:val="43"/>
          <w:lang w:bidi="ar"/>
        </w:rPr>
        <w:t>华南农业大学材料与</w:t>
      </w:r>
      <w:r>
        <w:rPr>
          <w:rFonts w:hint="eastAsia" w:ascii="黑体" w:hAnsi="宋体" w:eastAsia="黑体" w:cs="黑体"/>
          <w:color w:val="000000"/>
          <w:kern w:val="0"/>
          <w:sz w:val="43"/>
          <w:szCs w:val="43"/>
          <w:lang w:val="en-US" w:eastAsia="zh-CN" w:bidi="ar"/>
        </w:rPr>
        <w:t>化学工程</w:t>
      </w:r>
      <w:r>
        <w:rPr>
          <w:rFonts w:ascii="黑体" w:hAnsi="宋体" w:eastAsia="黑体" w:cs="黑体"/>
          <w:color w:val="000000"/>
          <w:kern w:val="0"/>
          <w:sz w:val="43"/>
          <w:szCs w:val="43"/>
          <w:lang w:bidi="ar"/>
        </w:rPr>
        <w:t>学院</w:t>
      </w:r>
      <w:r>
        <w:rPr>
          <w:rFonts w:hint="eastAsia" w:ascii="黑体" w:hAnsi="宋体" w:eastAsia="黑体" w:cs="黑体"/>
          <w:color w:val="000000"/>
          <w:kern w:val="0"/>
          <w:sz w:val="43"/>
          <w:szCs w:val="43"/>
          <w:lang w:bidi="ar"/>
        </w:rPr>
        <w:t>本科生</w:t>
      </w:r>
    </w:p>
    <w:p w14:paraId="00F6E99E">
      <w:pPr>
        <w:widowControl/>
        <w:jc w:val="center"/>
        <w:rPr>
          <w:rFonts w:hint="eastAsia" w:ascii="黑体" w:hAnsi="宋体" w:eastAsia="黑体" w:cs="黑体"/>
          <w:color w:val="000000"/>
          <w:kern w:val="0"/>
          <w:sz w:val="43"/>
          <w:szCs w:val="43"/>
          <w:lang w:bidi="ar"/>
        </w:rPr>
      </w:pPr>
      <w:r>
        <w:rPr>
          <w:rFonts w:hint="eastAsia" w:ascii="黑体" w:hAnsi="宋体" w:eastAsia="黑体" w:cs="黑体"/>
          <w:color w:val="000000"/>
          <w:kern w:val="0"/>
          <w:sz w:val="43"/>
          <w:szCs w:val="43"/>
          <w:lang w:bidi="ar"/>
        </w:rPr>
        <w:t>国家奖学金评选办法</w:t>
      </w:r>
    </w:p>
    <w:p w14:paraId="5AFB9DE3">
      <w:pPr>
        <w:keepNext w:val="0"/>
        <w:keepLines w:val="0"/>
        <w:pageBreakBefore w:val="0"/>
        <w:widowControl/>
        <w:kinsoku/>
        <w:wordWrap/>
        <w:overflowPunct/>
        <w:topLinePunct w:val="0"/>
        <w:autoSpaceDE/>
        <w:autoSpaceDN/>
        <w:bidi w:val="0"/>
        <w:adjustRightInd/>
        <w:snapToGrid/>
        <w:spacing w:line="576" w:lineRule="exact"/>
        <w:jc w:val="center"/>
        <w:textAlignment w:val="auto"/>
        <w:rPr>
          <w:rFonts w:hint="eastAsia" w:ascii="黑体" w:hAnsi="宋体" w:eastAsia="黑体" w:cs="黑体"/>
          <w:color w:val="000000"/>
          <w:kern w:val="0"/>
          <w:sz w:val="43"/>
          <w:szCs w:val="43"/>
          <w:lang w:bidi="ar"/>
        </w:rPr>
      </w:pPr>
    </w:p>
    <w:p w14:paraId="5338E721">
      <w:pPr>
        <w:keepNext w:val="0"/>
        <w:keepLines w:val="0"/>
        <w:pageBreakBefore w:val="0"/>
        <w:kinsoku/>
        <w:wordWrap/>
        <w:overflowPunct/>
        <w:topLinePunct w:val="0"/>
        <w:autoSpaceDE/>
        <w:autoSpaceDN/>
        <w:bidi w:val="0"/>
        <w:adjustRightInd/>
        <w:snapToGrid/>
        <w:spacing w:before="120" w:beforeLines="50" w:after="120" w:afterLines="50" w:line="576" w:lineRule="exact"/>
        <w:jc w:val="center"/>
        <w:textAlignment w:val="auto"/>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第一章  总  则</w:t>
      </w:r>
    </w:p>
    <w:p w14:paraId="3606F45F">
      <w:pPr>
        <w:keepNext w:val="0"/>
        <w:keepLines w:val="0"/>
        <w:pageBreakBefore w:val="0"/>
        <w:widowControl/>
        <w:kinsoku/>
        <w:wordWrap/>
        <w:overflowPunct/>
        <w:topLinePunct w:val="0"/>
        <w:autoSpaceDE/>
        <w:autoSpaceDN/>
        <w:bidi w:val="0"/>
        <w:adjustRightInd/>
        <w:snapToGrid/>
        <w:spacing w:line="576" w:lineRule="exact"/>
        <w:ind w:firstLine="627" w:firstLineChars="200"/>
        <w:jc w:val="left"/>
        <w:textAlignment w:val="auto"/>
        <w:rPr>
          <w:rFonts w:ascii="仿宋_GB2312" w:eastAsia="仿宋_GB2312"/>
          <w:spacing w:val="-4"/>
          <w:sz w:val="32"/>
          <w:szCs w:val="32"/>
        </w:rPr>
      </w:pPr>
      <w:r>
        <w:rPr>
          <w:rFonts w:hint="eastAsia" w:ascii="仿宋_GB2312" w:eastAsia="仿宋_GB2312"/>
          <w:b/>
          <w:spacing w:val="-4"/>
          <w:sz w:val="32"/>
          <w:szCs w:val="32"/>
        </w:rPr>
        <w:t>第一条</w:t>
      </w:r>
      <w:r>
        <w:rPr>
          <w:rFonts w:hint="eastAsia" w:ascii="仿宋_GB2312" w:eastAsia="仿宋_GB2312"/>
          <w:spacing w:val="-4"/>
          <w:sz w:val="32"/>
          <w:szCs w:val="32"/>
        </w:rPr>
        <w:t xml:space="preserve">  为激励学生勤奋学习，做好我院本科生国家奖学金的评审工作，根据学校《华南农业大学本科生国家奖助学金实施办法》（华农党发〔</w:t>
      </w:r>
      <w:r>
        <w:rPr>
          <w:rFonts w:ascii="仿宋_GB2312" w:eastAsia="仿宋_GB2312"/>
          <w:spacing w:val="-4"/>
          <w:sz w:val="32"/>
          <w:szCs w:val="32"/>
        </w:rPr>
        <w:t>202</w:t>
      </w:r>
      <w:r>
        <w:rPr>
          <w:rFonts w:hint="eastAsia" w:ascii="仿宋_GB2312" w:eastAsia="仿宋_GB2312"/>
          <w:spacing w:val="-4"/>
          <w:sz w:val="32"/>
          <w:szCs w:val="32"/>
        </w:rPr>
        <w:t>1〕35号）的文件要求，结合我院实际情况，制定本办法。</w:t>
      </w:r>
    </w:p>
    <w:p w14:paraId="4B4ACEAA">
      <w:pPr>
        <w:keepNext w:val="0"/>
        <w:keepLines w:val="0"/>
        <w:pageBreakBefore w:val="0"/>
        <w:widowControl/>
        <w:kinsoku/>
        <w:wordWrap/>
        <w:overflowPunct/>
        <w:topLinePunct w:val="0"/>
        <w:autoSpaceDE/>
        <w:autoSpaceDN/>
        <w:bidi w:val="0"/>
        <w:adjustRightInd/>
        <w:snapToGrid/>
        <w:spacing w:line="576" w:lineRule="exact"/>
        <w:ind w:firstLine="627" w:firstLineChars="200"/>
        <w:jc w:val="left"/>
        <w:textAlignment w:val="auto"/>
        <w:rPr>
          <w:rFonts w:ascii="仿宋_GB2312" w:eastAsia="仿宋_GB2312"/>
          <w:spacing w:val="-4"/>
          <w:sz w:val="32"/>
          <w:szCs w:val="32"/>
        </w:rPr>
      </w:pPr>
      <w:r>
        <w:rPr>
          <w:rFonts w:hint="eastAsia" w:ascii="仿宋_GB2312" w:eastAsia="仿宋_GB2312"/>
          <w:b/>
          <w:spacing w:val="-4"/>
          <w:sz w:val="32"/>
          <w:szCs w:val="32"/>
        </w:rPr>
        <w:t>第二条</w:t>
      </w:r>
      <w:r>
        <w:rPr>
          <w:rFonts w:hint="eastAsia" w:ascii="仿宋_GB2312" w:eastAsia="仿宋_GB2312"/>
          <w:spacing w:val="-4"/>
          <w:sz w:val="32"/>
          <w:szCs w:val="32"/>
        </w:rPr>
        <w:t xml:space="preserve">  本办法所指国家奖学金用于奖励我院表现优异的本科学生。</w:t>
      </w:r>
    </w:p>
    <w:p w14:paraId="6E379BE4">
      <w:pPr>
        <w:keepNext w:val="0"/>
        <w:keepLines w:val="0"/>
        <w:pageBreakBefore w:val="0"/>
        <w:widowControl/>
        <w:kinsoku/>
        <w:wordWrap/>
        <w:overflowPunct/>
        <w:topLinePunct w:val="0"/>
        <w:autoSpaceDE/>
        <w:autoSpaceDN/>
        <w:bidi w:val="0"/>
        <w:adjustRightInd/>
        <w:snapToGrid/>
        <w:spacing w:line="576" w:lineRule="exact"/>
        <w:jc w:val="center"/>
        <w:textAlignment w:val="auto"/>
      </w:pPr>
    </w:p>
    <w:p w14:paraId="1B673443">
      <w:pPr>
        <w:keepNext w:val="0"/>
        <w:keepLines w:val="0"/>
        <w:pageBreakBefore w:val="0"/>
        <w:kinsoku/>
        <w:wordWrap/>
        <w:overflowPunct/>
        <w:topLinePunct w:val="0"/>
        <w:autoSpaceDE/>
        <w:autoSpaceDN/>
        <w:bidi w:val="0"/>
        <w:adjustRightInd/>
        <w:snapToGrid/>
        <w:spacing w:before="120" w:beforeLines="50" w:after="120" w:afterLines="50" w:line="576" w:lineRule="exact"/>
        <w:jc w:val="center"/>
        <w:textAlignment w:val="auto"/>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第二章  国家奖助学金评审机构</w:t>
      </w:r>
    </w:p>
    <w:p w14:paraId="4A21F12F">
      <w:pPr>
        <w:keepNext w:val="0"/>
        <w:keepLines w:val="0"/>
        <w:pageBreakBefore w:val="0"/>
        <w:widowControl/>
        <w:kinsoku/>
        <w:wordWrap/>
        <w:overflowPunct/>
        <w:topLinePunct w:val="0"/>
        <w:autoSpaceDE/>
        <w:autoSpaceDN/>
        <w:bidi w:val="0"/>
        <w:adjustRightInd/>
        <w:snapToGrid/>
        <w:spacing w:line="576" w:lineRule="exact"/>
        <w:ind w:firstLine="627" w:firstLineChars="200"/>
        <w:jc w:val="left"/>
        <w:textAlignment w:val="auto"/>
        <w:rPr>
          <w:rFonts w:ascii="仿宋_GB2312" w:eastAsia="仿宋_GB2312"/>
          <w:spacing w:val="-4"/>
          <w:sz w:val="32"/>
          <w:szCs w:val="32"/>
        </w:rPr>
      </w:pPr>
      <w:r>
        <w:rPr>
          <w:rFonts w:hint="eastAsia" w:ascii="仿宋_GB2312" w:eastAsia="仿宋_GB2312"/>
          <w:b/>
          <w:bCs/>
          <w:spacing w:val="-4"/>
          <w:sz w:val="32"/>
          <w:szCs w:val="32"/>
        </w:rPr>
        <w:t>第三条</w:t>
      </w:r>
      <w:r>
        <w:rPr>
          <w:rFonts w:hint="eastAsia" w:ascii="仿宋_GB2312" w:eastAsia="仿宋_GB2312"/>
          <w:spacing w:val="-4"/>
          <w:sz w:val="32"/>
          <w:szCs w:val="32"/>
        </w:rPr>
        <w:t xml:space="preserve">  学院成立本科生国家奖学金评审工作小组，由学院党委副书记任组长，成员由学院辅导员、班主任代表和本科生代表组成。学院评审工作小组负责学院国家奖学金的评审工作。</w:t>
      </w:r>
    </w:p>
    <w:p w14:paraId="07DA1218">
      <w:pPr>
        <w:keepNext w:val="0"/>
        <w:keepLines w:val="0"/>
        <w:pageBreakBefore w:val="0"/>
        <w:widowControl/>
        <w:kinsoku/>
        <w:wordWrap/>
        <w:overflowPunct/>
        <w:topLinePunct w:val="0"/>
        <w:autoSpaceDE/>
        <w:autoSpaceDN/>
        <w:bidi w:val="0"/>
        <w:adjustRightInd/>
        <w:snapToGrid/>
        <w:spacing w:line="576" w:lineRule="exact"/>
        <w:ind w:firstLine="420" w:firstLineChars="200"/>
        <w:jc w:val="left"/>
        <w:textAlignment w:val="auto"/>
      </w:pPr>
    </w:p>
    <w:p w14:paraId="148B8851">
      <w:pPr>
        <w:keepNext w:val="0"/>
        <w:keepLines w:val="0"/>
        <w:pageBreakBefore w:val="0"/>
        <w:kinsoku/>
        <w:wordWrap/>
        <w:overflowPunct/>
        <w:topLinePunct w:val="0"/>
        <w:autoSpaceDE/>
        <w:autoSpaceDN/>
        <w:bidi w:val="0"/>
        <w:adjustRightInd/>
        <w:snapToGrid/>
        <w:spacing w:before="120" w:beforeLines="50" w:after="120" w:afterLines="50" w:line="576" w:lineRule="exact"/>
        <w:jc w:val="center"/>
        <w:textAlignment w:val="auto"/>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第三章  国家奖学金奖励标准、申请条件与名额分配</w:t>
      </w:r>
    </w:p>
    <w:p w14:paraId="6F25B2A1">
      <w:pPr>
        <w:keepNext w:val="0"/>
        <w:keepLines w:val="0"/>
        <w:pageBreakBefore w:val="0"/>
        <w:widowControl/>
        <w:kinsoku/>
        <w:wordWrap/>
        <w:overflowPunct/>
        <w:topLinePunct w:val="0"/>
        <w:autoSpaceDE/>
        <w:autoSpaceDN/>
        <w:bidi w:val="0"/>
        <w:adjustRightInd/>
        <w:snapToGrid/>
        <w:spacing w:line="576" w:lineRule="exact"/>
        <w:ind w:firstLine="627" w:firstLineChars="200"/>
        <w:jc w:val="left"/>
        <w:textAlignment w:val="auto"/>
        <w:rPr>
          <w:rFonts w:ascii="仿宋_GB2312" w:eastAsia="仿宋_GB2312"/>
          <w:spacing w:val="-4"/>
          <w:sz w:val="32"/>
          <w:szCs w:val="32"/>
        </w:rPr>
      </w:pPr>
      <w:r>
        <w:rPr>
          <w:rFonts w:hint="eastAsia" w:ascii="仿宋_GB2312" w:eastAsia="仿宋_GB2312"/>
          <w:b/>
          <w:spacing w:val="-4"/>
          <w:sz w:val="32"/>
          <w:szCs w:val="32"/>
        </w:rPr>
        <w:t xml:space="preserve">第四条  </w:t>
      </w:r>
      <w:r>
        <w:rPr>
          <w:rFonts w:hint="eastAsia" w:ascii="仿宋_GB2312" w:eastAsia="仿宋_GB2312"/>
          <w:spacing w:val="-4"/>
          <w:sz w:val="32"/>
          <w:szCs w:val="32"/>
        </w:rPr>
        <w:t>国家奖学金的奖励标准为每人每年10000元，具体名额以当年度学校通知为准。</w:t>
      </w:r>
    </w:p>
    <w:p w14:paraId="4230BB98">
      <w:pPr>
        <w:adjustRightInd w:val="0"/>
        <w:snapToGrid w:val="0"/>
        <w:spacing w:line="576" w:lineRule="exact"/>
        <w:ind w:firstLine="627" w:firstLineChars="200"/>
        <w:rPr>
          <w:rFonts w:ascii="仿宋_GB2312" w:eastAsia="仿宋_GB2312"/>
          <w:spacing w:val="-4"/>
          <w:sz w:val="32"/>
          <w:szCs w:val="32"/>
        </w:rPr>
      </w:pPr>
      <w:r>
        <w:rPr>
          <w:rFonts w:hint="eastAsia" w:ascii="仿宋_GB2312" w:eastAsia="仿宋_GB2312"/>
          <w:b/>
          <w:spacing w:val="-4"/>
          <w:sz w:val="32"/>
          <w:szCs w:val="32"/>
        </w:rPr>
        <w:t>第五条</w:t>
      </w:r>
      <w:r>
        <w:rPr>
          <w:rFonts w:hint="eastAsia" w:ascii="仿宋_GB2312" w:eastAsia="仿宋_GB2312"/>
          <w:spacing w:val="-4"/>
          <w:sz w:val="32"/>
          <w:szCs w:val="32"/>
        </w:rPr>
        <w:t xml:space="preserve">  基本申请条件：</w:t>
      </w:r>
    </w:p>
    <w:p w14:paraId="62999F44">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（一）具有中华人民共和国国籍；</w:t>
      </w:r>
    </w:p>
    <w:p w14:paraId="3A7FE6DE">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（二）热爱社会主义祖国，拥护中国共产党的领导；</w:t>
      </w:r>
    </w:p>
    <w:p w14:paraId="57C8B374">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（三）遵守宪法和法律，遵守学校规章制度；</w:t>
      </w:r>
    </w:p>
    <w:p w14:paraId="49995D0E">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（四）诚实守信，道德品质优良；</w:t>
      </w:r>
    </w:p>
    <w:p w14:paraId="1B93BBDA">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（五）在校期间学习成绩优异，社会实践、创新能力、综合素质等方面特别突出。</w:t>
      </w:r>
    </w:p>
    <w:p w14:paraId="02D59862">
      <w:pPr>
        <w:adjustRightInd w:val="0"/>
        <w:snapToGrid w:val="0"/>
        <w:spacing w:line="576" w:lineRule="exact"/>
        <w:ind w:firstLine="627" w:firstLineChars="200"/>
        <w:rPr>
          <w:rFonts w:ascii="仿宋_GB2312" w:eastAsia="仿宋_GB2312"/>
          <w:spacing w:val="-4"/>
          <w:sz w:val="32"/>
          <w:szCs w:val="32"/>
        </w:rPr>
      </w:pPr>
      <w:r>
        <w:rPr>
          <w:rFonts w:hint="eastAsia" w:ascii="仿宋_GB2312" w:eastAsia="仿宋_GB2312"/>
          <w:b/>
          <w:spacing w:val="-4"/>
          <w:sz w:val="32"/>
          <w:szCs w:val="32"/>
        </w:rPr>
        <w:t>第六条</w:t>
      </w:r>
      <w:r>
        <w:rPr>
          <w:rFonts w:hint="eastAsia" w:ascii="仿宋_GB2312" w:eastAsia="仿宋_GB2312"/>
          <w:spacing w:val="-4"/>
          <w:sz w:val="32"/>
          <w:szCs w:val="32"/>
        </w:rPr>
        <w:t xml:space="preserve">  国家奖学金申请条件：</w:t>
      </w:r>
    </w:p>
    <w:p w14:paraId="57439C20">
      <w:pPr>
        <w:adjustRightInd w:val="0"/>
        <w:snapToGrid w:val="0"/>
        <w:spacing w:line="576" w:lineRule="exact"/>
        <w:ind w:firstLine="624" w:firstLineChars="200"/>
        <w:rPr>
          <w:rFonts w:ascii="仿宋_GB2312" w:eastAsia="仿宋_GB2312"/>
          <w:spacing w:val="-4"/>
          <w:sz w:val="32"/>
          <w:szCs w:val="32"/>
        </w:rPr>
      </w:pPr>
      <w:r>
        <w:rPr>
          <w:rFonts w:hint="eastAsia" w:ascii="仿宋_GB2312" w:eastAsia="仿宋_GB2312"/>
          <w:spacing w:val="-4"/>
          <w:sz w:val="32"/>
          <w:szCs w:val="32"/>
        </w:rPr>
        <w:t>申请国家奖学金的学生，除具备第五条规定的基本条件外，须同时具备下列条件：</w:t>
      </w:r>
    </w:p>
    <w:p w14:paraId="57C95E21">
      <w:pPr>
        <w:spacing w:line="576"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（一）年级要求：二年级及以上年级。</w:t>
      </w:r>
    </w:p>
    <w:p w14:paraId="632CF50C">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bCs/>
          <w:spacing w:val="-4"/>
          <w:sz w:val="32"/>
          <w:szCs w:val="32"/>
        </w:rPr>
        <w:t>（二）成绩要求：</w:t>
      </w:r>
      <w:r>
        <w:rPr>
          <w:rFonts w:hint="eastAsia" w:ascii="仿宋_GB2312" w:hAnsi="仿宋_GB2312" w:eastAsia="仿宋_GB2312" w:cs="仿宋_GB2312"/>
          <w:spacing w:val="-4"/>
          <w:sz w:val="32"/>
          <w:szCs w:val="32"/>
        </w:rPr>
        <w:t>学习成绩排名与综合测评成绩排名均位于前</w:t>
      </w:r>
      <w:r>
        <w:rPr>
          <w:rFonts w:ascii="Times New Roman" w:hAnsi="Times New Roman" w:eastAsia="仿宋_GB2312" w:cs="Times New Roman"/>
          <w:spacing w:val="-4"/>
          <w:sz w:val="32"/>
          <w:szCs w:val="32"/>
        </w:rPr>
        <w:t>10%</w:t>
      </w:r>
      <w:r>
        <w:rPr>
          <w:rFonts w:hint="eastAsia" w:ascii="仿宋_GB2312" w:hAnsi="仿宋_GB2312" w:eastAsia="仿宋_GB2312" w:cs="仿宋_GB2312"/>
          <w:spacing w:val="-4"/>
          <w:sz w:val="32"/>
          <w:szCs w:val="32"/>
        </w:rPr>
        <w:t>（含</w:t>
      </w:r>
      <w:r>
        <w:rPr>
          <w:rFonts w:ascii="Times New Roman" w:hAnsi="Times New Roman" w:eastAsia="仿宋_GB2312" w:cs="Times New Roman"/>
          <w:spacing w:val="-4"/>
          <w:sz w:val="32"/>
          <w:szCs w:val="32"/>
        </w:rPr>
        <w:t>10%</w:t>
      </w:r>
      <w:r>
        <w:rPr>
          <w:rFonts w:hint="eastAsia" w:ascii="仿宋_GB2312" w:hAnsi="仿宋_GB2312" w:eastAsia="仿宋_GB2312" w:cs="仿宋_GB2312"/>
          <w:spacing w:val="-4"/>
          <w:sz w:val="32"/>
          <w:szCs w:val="32"/>
        </w:rPr>
        <w:t>）。学习成绩排名和综合考评成绩排名没有进入前</w:t>
      </w:r>
      <w:r>
        <w:rPr>
          <w:rFonts w:ascii="Times New Roman" w:hAnsi="Times New Roman" w:eastAsia="仿宋_GB2312" w:cs="Times New Roman"/>
          <w:spacing w:val="-4"/>
          <w:sz w:val="32"/>
          <w:szCs w:val="32"/>
        </w:rPr>
        <w:t>10%</w:t>
      </w:r>
      <w:r>
        <w:rPr>
          <w:rFonts w:hint="eastAsia" w:ascii="仿宋_GB2312" w:hAnsi="仿宋_GB2312" w:eastAsia="仿宋_GB2312" w:cs="仿宋_GB2312"/>
          <w:spacing w:val="-4"/>
          <w:sz w:val="32"/>
          <w:szCs w:val="32"/>
        </w:rPr>
        <w:t>，但达到前</w:t>
      </w:r>
      <w:r>
        <w:rPr>
          <w:rFonts w:ascii="Times New Roman" w:hAnsi="Times New Roman" w:eastAsia="仿宋_GB2312" w:cs="Times New Roman"/>
          <w:spacing w:val="-4"/>
          <w:sz w:val="32"/>
          <w:szCs w:val="32"/>
        </w:rPr>
        <w:t>30%</w:t>
      </w:r>
      <w:r>
        <w:rPr>
          <w:rFonts w:hint="eastAsia" w:ascii="仿宋_GB2312" w:hAnsi="仿宋_GB2312" w:eastAsia="仿宋_GB2312" w:cs="仿宋_GB2312"/>
          <w:spacing w:val="-4"/>
          <w:sz w:val="32"/>
          <w:szCs w:val="32"/>
        </w:rPr>
        <w:t>（含</w:t>
      </w:r>
      <w:r>
        <w:rPr>
          <w:rFonts w:ascii="Times New Roman" w:hAnsi="Times New Roman" w:eastAsia="仿宋_GB2312" w:cs="Times New Roman"/>
          <w:spacing w:val="-4"/>
          <w:sz w:val="32"/>
          <w:szCs w:val="32"/>
        </w:rPr>
        <w:t>30%</w:t>
      </w:r>
      <w:r>
        <w:rPr>
          <w:rFonts w:hint="eastAsia" w:ascii="仿宋_GB2312" w:hAnsi="仿宋_GB2312" w:eastAsia="仿宋_GB2312" w:cs="仿宋_GB2312"/>
          <w:spacing w:val="-4"/>
          <w:sz w:val="32"/>
          <w:szCs w:val="32"/>
        </w:rPr>
        <w:t>）的，须在其他方面表现非常突出，申请时须提交详细的证明材料，证明材料须经学校审核盖章确认。</w:t>
      </w:r>
    </w:p>
    <w:p w14:paraId="4EC1BE20">
      <w:pPr>
        <w:spacing w:line="576" w:lineRule="exact"/>
        <w:ind w:firstLine="624"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其他方面表现非常突出，是指在道德风尚、学术研究、学科竞赛、创新发明、社会实践、社会工作、体育竞赛、艺术展演等某一方面表现特别优秀。具体为：</w:t>
      </w:r>
    </w:p>
    <w:p w14:paraId="79A7B99F">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1</w:t>
      </w:r>
      <w:r>
        <w:rPr>
          <w:rFonts w:hint="eastAsia" w:ascii="仿宋_GB2312" w:hAnsi="仿宋_GB2312" w:eastAsia="仿宋_GB2312" w:cs="仿宋_GB2312"/>
          <w:spacing w:val="-4"/>
          <w:sz w:val="32"/>
          <w:szCs w:val="32"/>
        </w:rPr>
        <w:t>. 在社会主义精神文明建设中表现突出，具有见义勇为、助人为乐、奉献爱心、服务社会、自立自强的实际行动，在本校、本地区产生重大影响，在全国产生较大影响，有助于树立良好的社会风尚；</w:t>
      </w:r>
    </w:p>
    <w:p w14:paraId="32890D76">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2</w:t>
      </w:r>
      <w:r>
        <w:rPr>
          <w:rFonts w:hint="eastAsia" w:ascii="仿宋_GB2312" w:hAnsi="仿宋_GB2312" w:eastAsia="仿宋_GB2312" w:cs="仿宋_GB2312"/>
          <w:spacing w:val="-4"/>
          <w:sz w:val="32"/>
          <w:szCs w:val="32"/>
        </w:rPr>
        <w:t>. 在学术研究上取得显著成绩，以第一作者发表的通过专家鉴定的高水平论文，以第一、二作者出版的通过专家鉴定的学术专著；</w:t>
      </w:r>
    </w:p>
    <w:p w14:paraId="4ED635B8">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3</w:t>
      </w:r>
      <w:r>
        <w:rPr>
          <w:rFonts w:hint="eastAsia" w:ascii="仿宋_GB2312" w:hAnsi="仿宋_GB2312" w:eastAsia="仿宋_GB2312" w:cs="仿宋_GB2312"/>
          <w:spacing w:val="-4"/>
          <w:sz w:val="32"/>
          <w:szCs w:val="32"/>
        </w:rPr>
        <w:t>. 在学科竞赛方面取得显著成绩，在国际或全国性专业学科竞赛、中国国际大学生创新大赛、</w:t>
      </w:r>
      <w:bookmarkStart w:id="0" w:name="_Hlk72392863"/>
      <w:r>
        <w:rPr>
          <w:rFonts w:hint="eastAsia" w:ascii="仿宋_GB2312" w:hAnsi="仿宋_GB2312" w:eastAsia="仿宋_GB2312" w:cs="仿宋_GB2312"/>
          <w:spacing w:val="-4"/>
          <w:sz w:val="32"/>
          <w:szCs w:val="32"/>
        </w:rPr>
        <w:t>“挑战杯”</w:t>
      </w:r>
      <w:bookmarkEnd w:id="0"/>
      <w:r>
        <w:rPr>
          <w:rFonts w:hint="eastAsia" w:ascii="仿宋_GB2312" w:hAnsi="仿宋_GB2312" w:eastAsia="仿宋_GB2312" w:cs="仿宋_GB2312"/>
          <w:spacing w:val="-4"/>
          <w:sz w:val="32"/>
          <w:szCs w:val="32"/>
        </w:rPr>
        <w:t>全国大学生课外学术科技作品竞赛、“挑战杯”中国大学生创业计划竞赛等竞赛中获一等奖（或金奖）及以上奖励；</w:t>
      </w:r>
    </w:p>
    <w:p w14:paraId="0AD7A31F">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4</w:t>
      </w:r>
      <w:r>
        <w:rPr>
          <w:rFonts w:hint="eastAsia" w:ascii="仿宋_GB2312" w:hAnsi="仿宋_GB2312" w:eastAsia="仿宋_GB2312" w:cs="仿宋_GB2312"/>
          <w:spacing w:val="-4"/>
          <w:sz w:val="32"/>
          <w:szCs w:val="32"/>
        </w:rPr>
        <w:t>. 在创新发明方面取得显著成绩，科研成果获省、部级以上奖励；通过专家鉴定的国家专利（不包括实用新型专利、外观设计专利）；</w:t>
      </w:r>
    </w:p>
    <w:p w14:paraId="0D99967C">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5</w:t>
      </w:r>
      <w:r>
        <w:rPr>
          <w:rFonts w:hint="eastAsia" w:ascii="仿宋_GB2312" w:hAnsi="仿宋_GB2312" w:eastAsia="仿宋_GB2312" w:cs="仿宋_GB2312"/>
          <w:spacing w:val="-4"/>
          <w:sz w:val="32"/>
          <w:szCs w:val="32"/>
        </w:rPr>
        <w:t>. 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14:paraId="582ECBB1">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6</w:t>
      </w:r>
      <w:r>
        <w:rPr>
          <w:rFonts w:hint="eastAsia" w:ascii="仿宋_GB2312" w:hAnsi="仿宋_GB2312" w:eastAsia="仿宋_GB2312" w:cs="仿宋_GB2312"/>
          <w:spacing w:val="-4"/>
          <w:sz w:val="32"/>
          <w:szCs w:val="32"/>
        </w:rPr>
        <w:t>. 在艺术展演方面取得显著成绩，非艺术类专业学生参加全国大学生艺术展演获得一、二等奖，参加省级艺术展演获得一等奖；艺术类专业学生参加国际和全国性比赛获得前三名。集体项目应为主要演员；</w:t>
      </w:r>
    </w:p>
    <w:p w14:paraId="16492B6E">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7</w:t>
      </w:r>
      <w:r>
        <w:rPr>
          <w:rFonts w:hint="eastAsia" w:ascii="仿宋_GB2312" w:hAnsi="仿宋_GB2312" w:eastAsia="仿宋_GB2312" w:cs="仿宋_GB2312"/>
          <w:spacing w:val="-4"/>
          <w:sz w:val="32"/>
          <w:szCs w:val="32"/>
        </w:rPr>
        <w:t>. 获全国十大杰出青年、中国青年五四奖章、中国大学生年度人物、中国大学生自强之星等全国性荣誉称号；</w:t>
      </w:r>
    </w:p>
    <w:p w14:paraId="1013E48B">
      <w:pPr>
        <w:spacing w:line="576" w:lineRule="exact"/>
        <w:ind w:firstLine="624" w:firstLineChars="200"/>
        <w:rPr>
          <w:rFonts w:ascii="仿宋_GB2312" w:hAnsi="仿宋_GB2312" w:eastAsia="仿宋_GB2312" w:cs="仿宋_GB2312"/>
          <w:spacing w:val="-4"/>
          <w:sz w:val="32"/>
          <w:szCs w:val="32"/>
        </w:rPr>
      </w:pPr>
      <w:r>
        <w:rPr>
          <w:rFonts w:ascii="Times New Roman" w:hAnsi="Times New Roman" w:eastAsia="仿宋_GB2312" w:cs="Times New Roman"/>
          <w:spacing w:val="-4"/>
          <w:sz w:val="32"/>
          <w:szCs w:val="32"/>
        </w:rPr>
        <w:t>8</w:t>
      </w:r>
      <w:r>
        <w:rPr>
          <w:rFonts w:hint="eastAsia" w:ascii="仿宋_GB2312" w:hAnsi="仿宋_GB2312" w:eastAsia="仿宋_GB2312" w:cs="仿宋_GB2312"/>
          <w:spacing w:val="-4"/>
          <w:sz w:val="32"/>
          <w:szCs w:val="32"/>
        </w:rPr>
        <w:t>. 其他应当认定为表现非常突出的情形。</w:t>
      </w:r>
    </w:p>
    <w:p w14:paraId="6F1E07ED">
      <w:pPr>
        <w:spacing w:before="120" w:beforeLines="50" w:after="120" w:afterLines="50" w:line="576" w:lineRule="exact"/>
        <w:jc w:val="center"/>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第四章  国家奖助学金评审</w:t>
      </w:r>
    </w:p>
    <w:p w14:paraId="3ED91717">
      <w:pPr>
        <w:adjustRightInd w:val="0"/>
        <w:snapToGrid w:val="0"/>
        <w:spacing w:line="576" w:lineRule="exact"/>
        <w:ind w:firstLine="627" w:firstLineChars="200"/>
        <w:rPr>
          <w:rFonts w:ascii="仿宋_GB2312" w:eastAsia="仿宋_GB2312"/>
          <w:spacing w:val="-4"/>
          <w:sz w:val="32"/>
          <w:szCs w:val="32"/>
        </w:rPr>
      </w:pPr>
      <w:r>
        <w:rPr>
          <w:rFonts w:hint="eastAsia" w:ascii="仿宋_GB2312" w:eastAsia="仿宋_GB2312"/>
          <w:b/>
          <w:spacing w:val="-4"/>
          <w:sz w:val="32"/>
          <w:szCs w:val="32"/>
        </w:rPr>
        <w:t>第七条</w:t>
      </w:r>
      <w:r>
        <w:rPr>
          <w:rFonts w:hint="eastAsia" w:ascii="仿宋_GB2312" w:eastAsia="仿宋_GB2312"/>
          <w:spacing w:val="-4"/>
          <w:sz w:val="32"/>
          <w:szCs w:val="32"/>
        </w:rPr>
        <w:t xml:space="preserve">  国家奖学金每学年评审一次，由学院评审工作小组对申请学生进行初步审查，并将推荐名单在学院公示不少于</w:t>
      </w:r>
      <w:r>
        <w:rPr>
          <w:rFonts w:ascii="Times New Roman" w:hAnsi="Times New Roman" w:eastAsia="仿宋_GB2312" w:cs="Times New Roman"/>
          <w:spacing w:val="-4"/>
          <w:sz w:val="32"/>
          <w:szCs w:val="32"/>
        </w:rPr>
        <w:t>3</w:t>
      </w:r>
      <w:r>
        <w:rPr>
          <w:rFonts w:hint="eastAsia" w:ascii="仿宋_GB2312" w:eastAsia="仿宋_GB2312"/>
          <w:spacing w:val="-4"/>
          <w:sz w:val="32"/>
          <w:szCs w:val="32"/>
        </w:rPr>
        <w:t>个工作日。公示结果无异议后提交学校统一评审。</w:t>
      </w:r>
    </w:p>
    <w:p w14:paraId="1EBFDC33">
      <w:pPr>
        <w:adjustRightInd w:val="0"/>
        <w:snapToGrid w:val="0"/>
        <w:spacing w:line="576" w:lineRule="exact"/>
        <w:ind w:firstLine="627" w:firstLineChars="200"/>
        <w:rPr>
          <w:rFonts w:ascii="仿宋_GB2312" w:eastAsia="仿宋_GB2312"/>
          <w:spacing w:val="-4"/>
          <w:sz w:val="32"/>
          <w:szCs w:val="32"/>
        </w:rPr>
      </w:pPr>
      <w:r>
        <w:rPr>
          <w:rFonts w:hint="eastAsia" w:ascii="仿宋_GB2312" w:eastAsia="仿宋_GB2312"/>
          <w:b/>
          <w:spacing w:val="-4"/>
          <w:sz w:val="32"/>
          <w:szCs w:val="32"/>
        </w:rPr>
        <w:t>第八条</w:t>
      </w:r>
      <w:r>
        <w:rPr>
          <w:rFonts w:hint="eastAsia" w:ascii="仿宋_GB2312" w:eastAsia="仿宋_GB2312"/>
          <w:spacing w:val="-4"/>
          <w:sz w:val="32"/>
          <w:szCs w:val="32"/>
        </w:rPr>
        <w:t xml:space="preserve">  对评审过程有异议的学生，可在学院公示期间向学院评审工作小组提出投诉或举报。</w:t>
      </w:r>
    </w:p>
    <w:p w14:paraId="3060A541">
      <w:pPr>
        <w:widowControl/>
        <w:ind w:firstLine="420" w:firstLineChars="200"/>
        <w:jc w:val="left"/>
        <w:rPr>
          <w:rFonts w:eastAsia="仿宋_GB2312"/>
        </w:rPr>
      </w:pPr>
    </w:p>
    <w:p w14:paraId="50254B8F">
      <w:pPr>
        <w:spacing w:before="120" w:beforeLines="50" w:after="120" w:afterLines="50" w:line="576" w:lineRule="exact"/>
        <w:jc w:val="center"/>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第五章  评选依据</w:t>
      </w:r>
    </w:p>
    <w:p w14:paraId="2C486B60">
      <w:pPr>
        <w:pStyle w:val="2"/>
        <w:spacing w:before="53" w:line="328" w:lineRule="auto"/>
        <w:ind w:firstLine="664"/>
        <w:rPr>
          <w:rFonts w:hint="eastAsia" w:ascii="仿宋_GB2312" w:eastAsia="仿宋_GB2312" w:hAnsiTheme="minorHAnsi" w:cstheme="minorBidi"/>
          <w:spacing w:val="-4"/>
          <w:sz w:val="32"/>
          <w:szCs w:val="32"/>
          <w:lang w:eastAsia="zh-CN"/>
        </w:rPr>
      </w:pPr>
      <w:r>
        <w:rPr>
          <w:rFonts w:hint="eastAsia" w:ascii="仿宋_GB2312" w:eastAsia="仿宋_GB2312" w:hAnsiTheme="minorHAnsi" w:cstheme="minorBidi"/>
          <w:b/>
          <w:spacing w:val="-4"/>
          <w:kern w:val="2"/>
          <w:sz w:val="32"/>
          <w:szCs w:val="32"/>
          <w:lang w:val="en-US" w:eastAsia="zh-CN" w:bidi="ar-SA"/>
        </w:rPr>
        <w:t>第九条</w:t>
      </w:r>
      <w:r>
        <w:rPr>
          <w:spacing w:val="16"/>
          <w:lang w:eastAsia="zh-CN"/>
        </w:rPr>
        <w:t xml:space="preserve">  </w:t>
      </w:r>
      <w:r>
        <w:rPr>
          <w:rFonts w:hint="eastAsia" w:ascii="仿宋_GB2312" w:eastAsia="仿宋_GB2312" w:hAnsiTheme="minorHAnsi" w:cstheme="minorBidi"/>
          <w:spacing w:val="-4"/>
          <w:sz w:val="32"/>
          <w:szCs w:val="32"/>
          <w:lang w:val="en-US" w:eastAsia="zh-CN"/>
        </w:rPr>
        <w:t>评选依据参考学院推免细则，</w:t>
      </w:r>
      <w:r>
        <w:rPr>
          <w:rFonts w:ascii="仿宋_GB2312" w:eastAsia="仿宋_GB2312" w:hAnsiTheme="minorHAnsi" w:cstheme="minorBidi"/>
          <w:spacing w:val="-4"/>
          <w:sz w:val="32"/>
          <w:szCs w:val="32"/>
          <w:lang w:eastAsia="zh-CN"/>
        </w:rPr>
        <w:t>由思想品德的定性评价以及对学业成绩、创新能力与发展素养的定量评价组成，总分为100分。其中，学业平均学分绩点（GPA）折算分总分为85分，创新能力评价总分为10分，发展素养评价分总分为5分。单项累计总分不得超过该项最高分，分值按四舍五入保留至小数点后两位。具体要求如下：</w:t>
      </w:r>
    </w:p>
    <w:p w14:paraId="714C0888">
      <w:pPr>
        <w:pStyle w:val="2"/>
        <w:spacing w:before="52" w:line="220" w:lineRule="auto"/>
        <w:ind w:left="640"/>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（一）思想品德评价（定性）</w:t>
      </w:r>
    </w:p>
    <w:p w14:paraId="0CF02E43">
      <w:pPr>
        <w:pStyle w:val="2"/>
        <w:spacing w:before="101" w:line="323" w:lineRule="auto"/>
        <w:ind w:right="312" w:firstLine="654"/>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坚持德智体美劳全面衡量，以德为先，把学生思想品德考核作为推免生遴选和推荐的重要依据，思想品德考核不合格者不予推荐。</w:t>
      </w:r>
    </w:p>
    <w:p w14:paraId="752B86B2">
      <w:pPr>
        <w:pStyle w:val="2"/>
        <w:spacing w:before="52" w:line="222" w:lineRule="auto"/>
        <w:ind w:left="632"/>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（二）学业成绩评价（85分</w:t>
      </w:r>
      <w:r>
        <w:rPr>
          <w:rFonts w:hint="eastAsia" w:ascii="仿宋_GB2312" w:eastAsia="仿宋_GB2312" w:hAnsiTheme="minorHAnsi" w:cstheme="minorBidi"/>
          <w:spacing w:val="-4"/>
          <w:sz w:val="32"/>
          <w:szCs w:val="32"/>
          <w:lang w:eastAsia="zh-CN"/>
        </w:rPr>
        <w:t>）</w:t>
      </w:r>
    </w:p>
    <w:p w14:paraId="21DB4A02">
      <w:pPr>
        <w:pStyle w:val="2"/>
        <w:spacing w:before="186" w:line="328" w:lineRule="auto"/>
        <w:ind w:firstLine="659"/>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学业成绩指截至推免申请时所修读的华南农业大学全部</w:t>
      </w:r>
      <w:r>
        <w:rPr>
          <w:rFonts w:hint="eastAsia" w:ascii="仿宋_GB2312" w:eastAsia="仿宋_GB2312" w:hAnsiTheme="minorHAnsi" w:cstheme="minorBidi"/>
          <w:spacing w:val="-4"/>
          <w:sz w:val="32"/>
          <w:szCs w:val="32"/>
          <w:lang w:eastAsia="zh-CN"/>
        </w:rPr>
        <w:t>课程</w:t>
      </w:r>
      <w:r>
        <w:rPr>
          <w:rFonts w:ascii="仿宋_GB2312" w:eastAsia="仿宋_GB2312" w:hAnsiTheme="minorHAnsi" w:cstheme="minorBidi"/>
          <w:spacing w:val="-4"/>
          <w:sz w:val="32"/>
          <w:szCs w:val="32"/>
          <w:lang w:eastAsia="zh-CN"/>
        </w:rPr>
        <w:t>（辅修专业、辅修学士学位课程不计）全学程平均学分绩点（GPA）按照总分85分折算的分数。具体计算公式为：学业平均学分绩点折算分=[（学业平均学分绩点（GPA）-1）×10+60]×85%。计算分值时保留至小数点后两位。学业成绩根据教务管理系统成绩进行核算。</w:t>
      </w:r>
    </w:p>
    <w:p w14:paraId="74B30591">
      <w:pPr>
        <w:pStyle w:val="2"/>
        <w:spacing w:before="50" w:line="224" w:lineRule="auto"/>
        <w:ind w:left="632"/>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（三）创新能力评价（10分）</w:t>
      </w:r>
    </w:p>
    <w:p w14:paraId="12E97986">
      <w:pPr>
        <w:pStyle w:val="2"/>
        <w:spacing w:before="184" w:line="320" w:lineRule="auto"/>
        <w:ind w:left="7" w:right="268" w:firstLine="625"/>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创新能力评价包括学术论文、知识产权、学生竞赛等评价。成果截止日期为推免当年8月31日。</w:t>
      </w:r>
    </w:p>
    <w:p w14:paraId="21E7C83F">
      <w:pPr>
        <w:pStyle w:val="2"/>
        <w:spacing w:before="50" w:line="222" w:lineRule="auto"/>
        <w:ind w:left="660"/>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1.学术论文</w:t>
      </w:r>
    </w:p>
    <w:p w14:paraId="53F9E610">
      <w:pPr>
        <w:pStyle w:val="2"/>
        <w:spacing w:before="189" w:line="307" w:lineRule="auto"/>
        <w:ind w:left="3" w:right="312" w:firstLine="636"/>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仅限学生本科阶段以华南农业大学为第一完成单位，学生在期刊、高水平学术会议上发表的与本专业相关的科研论文，论文等级依据现行《华南农业大学学术论文评价方案》进行界定，此项加分累计不超过3分。</w:t>
      </w:r>
    </w:p>
    <w:tbl>
      <w:tblPr>
        <w:tblStyle w:val="9"/>
        <w:tblW w:w="8673"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92"/>
        <w:gridCol w:w="2888"/>
        <w:gridCol w:w="2893"/>
      </w:tblGrid>
      <w:tr w14:paraId="041E2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2892" w:type="dxa"/>
          </w:tcPr>
          <w:p w14:paraId="34FBD119">
            <w:pPr>
              <w:spacing w:before="181" w:line="224" w:lineRule="auto"/>
              <w:ind w:left="788"/>
              <w:rPr>
                <w:rFonts w:hint="eastAsia" w:ascii="仿宋_GB2312" w:eastAsia="仿宋_GB2312"/>
                <w:spacing w:val="-4"/>
                <w:sz w:val="32"/>
                <w:szCs w:val="32"/>
              </w:rPr>
            </w:pPr>
            <w:r>
              <w:rPr>
                <w:rFonts w:ascii="仿宋_GB2312" w:eastAsia="仿宋_GB2312"/>
                <w:spacing w:val="-4"/>
                <w:sz w:val="32"/>
                <w:szCs w:val="32"/>
              </w:rPr>
              <w:t>论文等级</w:t>
            </w:r>
          </w:p>
        </w:tc>
        <w:tc>
          <w:tcPr>
            <w:tcW w:w="2888" w:type="dxa"/>
          </w:tcPr>
          <w:p w14:paraId="3B918B64">
            <w:pPr>
              <w:spacing w:before="182" w:line="222" w:lineRule="auto"/>
              <w:ind w:left="790"/>
              <w:rPr>
                <w:rFonts w:hint="eastAsia" w:ascii="仿宋_GB2312" w:eastAsia="仿宋_GB2312"/>
                <w:spacing w:val="-4"/>
                <w:sz w:val="32"/>
                <w:szCs w:val="32"/>
              </w:rPr>
            </w:pPr>
            <w:r>
              <w:rPr>
                <w:rFonts w:ascii="仿宋_GB2312" w:eastAsia="仿宋_GB2312"/>
                <w:spacing w:val="-4"/>
                <w:sz w:val="32"/>
                <w:szCs w:val="32"/>
              </w:rPr>
              <w:t>本人排序</w:t>
            </w:r>
          </w:p>
        </w:tc>
        <w:tc>
          <w:tcPr>
            <w:tcW w:w="2893" w:type="dxa"/>
          </w:tcPr>
          <w:p w14:paraId="599D56F7">
            <w:pPr>
              <w:spacing w:before="181" w:line="224" w:lineRule="auto"/>
              <w:ind w:left="1111"/>
              <w:rPr>
                <w:rFonts w:hint="eastAsia" w:ascii="仿宋_GB2312" w:eastAsia="仿宋_GB2312"/>
                <w:spacing w:val="-4"/>
                <w:sz w:val="32"/>
                <w:szCs w:val="32"/>
              </w:rPr>
            </w:pPr>
            <w:r>
              <w:rPr>
                <w:rFonts w:ascii="仿宋_GB2312" w:eastAsia="仿宋_GB2312"/>
                <w:spacing w:val="-4"/>
                <w:sz w:val="32"/>
                <w:szCs w:val="32"/>
              </w:rPr>
              <w:t>加分</w:t>
            </w:r>
          </w:p>
        </w:tc>
      </w:tr>
      <w:tr w14:paraId="431E6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2892" w:type="dxa"/>
            <w:vMerge w:val="restart"/>
            <w:tcBorders>
              <w:bottom w:val="nil"/>
            </w:tcBorders>
          </w:tcPr>
          <w:p w14:paraId="12EC1804">
            <w:pPr>
              <w:spacing w:line="321" w:lineRule="auto"/>
              <w:rPr>
                <w:rFonts w:ascii="仿宋_GB2312" w:eastAsia="仿宋_GB2312"/>
                <w:spacing w:val="-4"/>
                <w:sz w:val="32"/>
                <w:szCs w:val="32"/>
              </w:rPr>
            </w:pPr>
          </w:p>
          <w:p w14:paraId="0662024F">
            <w:pPr>
              <w:spacing w:line="321" w:lineRule="auto"/>
              <w:rPr>
                <w:rFonts w:ascii="仿宋_GB2312" w:eastAsia="仿宋_GB2312"/>
                <w:spacing w:val="-4"/>
                <w:sz w:val="32"/>
                <w:szCs w:val="32"/>
              </w:rPr>
            </w:pPr>
          </w:p>
          <w:p w14:paraId="78FF54A8">
            <w:pPr>
              <w:spacing w:before="101" w:line="225" w:lineRule="auto"/>
              <w:ind w:left="1073"/>
              <w:rPr>
                <w:rFonts w:hint="eastAsia" w:ascii="仿宋_GB2312" w:eastAsia="仿宋_GB2312"/>
                <w:spacing w:val="-4"/>
                <w:sz w:val="32"/>
                <w:szCs w:val="32"/>
              </w:rPr>
            </w:pPr>
            <w:r>
              <w:rPr>
                <w:rFonts w:ascii="仿宋_GB2312" w:eastAsia="仿宋_GB2312"/>
                <w:spacing w:val="-4"/>
                <w:sz w:val="32"/>
                <w:szCs w:val="32"/>
              </w:rPr>
              <w:t>T1 类</w:t>
            </w:r>
          </w:p>
        </w:tc>
        <w:tc>
          <w:tcPr>
            <w:tcW w:w="2888" w:type="dxa"/>
          </w:tcPr>
          <w:p w14:paraId="765FA791">
            <w:pPr>
              <w:spacing w:before="177" w:line="220" w:lineRule="auto"/>
              <w:ind w:left="806"/>
              <w:rPr>
                <w:rFonts w:hint="eastAsia" w:ascii="仿宋_GB2312" w:eastAsia="仿宋_GB2312"/>
                <w:spacing w:val="-4"/>
                <w:sz w:val="32"/>
                <w:szCs w:val="32"/>
              </w:rPr>
            </w:pPr>
            <w:r>
              <w:rPr>
                <w:rFonts w:ascii="仿宋_GB2312" w:eastAsia="仿宋_GB2312"/>
                <w:spacing w:val="-4"/>
                <w:sz w:val="32"/>
                <w:szCs w:val="32"/>
              </w:rPr>
              <w:t>第一作者</w:t>
            </w:r>
          </w:p>
        </w:tc>
        <w:tc>
          <w:tcPr>
            <w:tcW w:w="2893" w:type="dxa"/>
          </w:tcPr>
          <w:p w14:paraId="4EAC4D4D">
            <w:pPr>
              <w:spacing w:before="218" w:line="185" w:lineRule="auto"/>
              <w:ind w:left="1376"/>
              <w:rPr>
                <w:rFonts w:hint="eastAsia" w:ascii="仿宋_GB2312" w:eastAsia="仿宋_GB2312"/>
                <w:spacing w:val="-4"/>
                <w:sz w:val="32"/>
                <w:szCs w:val="32"/>
              </w:rPr>
            </w:pPr>
            <w:r>
              <w:rPr>
                <w:rFonts w:ascii="仿宋_GB2312" w:eastAsia="仿宋_GB2312"/>
                <w:spacing w:val="-4"/>
                <w:sz w:val="32"/>
                <w:szCs w:val="32"/>
              </w:rPr>
              <w:t>3</w:t>
            </w:r>
          </w:p>
        </w:tc>
      </w:tr>
      <w:tr w14:paraId="7150AD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2892" w:type="dxa"/>
            <w:vMerge w:val="continue"/>
            <w:tcBorders>
              <w:top w:val="nil"/>
              <w:bottom w:val="nil"/>
            </w:tcBorders>
          </w:tcPr>
          <w:p w14:paraId="0011DB45">
            <w:pPr>
              <w:rPr>
                <w:rFonts w:ascii="仿宋_GB2312" w:eastAsia="仿宋_GB2312"/>
                <w:spacing w:val="-4"/>
                <w:sz w:val="32"/>
                <w:szCs w:val="32"/>
              </w:rPr>
            </w:pPr>
          </w:p>
        </w:tc>
        <w:tc>
          <w:tcPr>
            <w:tcW w:w="2888" w:type="dxa"/>
          </w:tcPr>
          <w:p w14:paraId="4815A861">
            <w:pPr>
              <w:spacing w:before="179" w:line="220" w:lineRule="auto"/>
              <w:ind w:left="806"/>
              <w:rPr>
                <w:rFonts w:hint="eastAsia" w:ascii="仿宋_GB2312" w:eastAsia="仿宋_GB2312"/>
                <w:spacing w:val="-4"/>
                <w:sz w:val="32"/>
                <w:szCs w:val="32"/>
              </w:rPr>
            </w:pPr>
            <w:r>
              <w:rPr>
                <w:rFonts w:ascii="仿宋_GB2312" w:eastAsia="仿宋_GB2312"/>
                <w:spacing w:val="-4"/>
                <w:sz w:val="32"/>
                <w:szCs w:val="32"/>
              </w:rPr>
              <w:t>第二作者</w:t>
            </w:r>
          </w:p>
        </w:tc>
        <w:tc>
          <w:tcPr>
            <w:tcW w:w="2893" w:type="dxa"/>
          </w:tcPr>
          <w:p w14:paraId="01E96191">
            <w:pPr>
              <w:spacing w:before="220" w:line="187" w:lineRule="auto"/>
              <w:ind w:left="1211"/>
              <w:rPr>
                <w:rFonts w:hint="eastAsia" w:ascii="仿宋_GB2312" w:eastAsia="仿宋_GB2312"/>
                <w:spacing w:val="-4"/>
                <w:sz w:val="32"/>
                <w:szCs w:val="32"/>
              </w:rPr>
            </w:pPr>
            <w:r>
              <w:rPr>
                <w:rFonts w:ascii="仿宋_GB2312" w:eastAsia="仿宋_GB2312"/>
                <w:spacing w:val="-4"/>
                <w:sz w:val="32"/>
                <w:szCs w:val="32"/>
              </w:rPr>
              <w:t>1.2</w:t>
            </w:r>
          </w:p>
        </w:tc>
      </w:tr>
      <w:tr w14:paraId="61041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3" w:hRule="atLeast"/>
        </w:trPr>
        <w:tc>
          <w:tcPr>
            <w:tcW w:w="2892" w:type="dxa"/>
            <w:vMerge w:val="continue"/>
            <w:tcBorders>
              <w:top w:val="nil"/>
            </w:tcBorders>
          </w:tcPr>
          <w:p w14:paraId="3F3003EE">
            <w:pPr>
              <w:rPr>
                <w:rFonts w:ascii="仿宋_GB2312" w:eastAsia="仿宋_GB2312"/>
                <w:spacing w:val="-4"/>
                <w:sz w:val="32"/>
                <w:szCs w:val="32"/>
              </w:rPr>
            </w:pPr>
          </w:p>
        </w:tc>
        <w:tc>
          <w:tcPr>
            <w:tcW w:w="2888" w:type="dxa"/>
          </w:tcPr>
          <w:p w14:paraId="3013886B">
            <w:pPr>
              <w:spacing w:before="179" w:line="220" w:lineRule="auto"/>
              <w:ind w:left="806"/>
              <w:rPr>
                <w:rFonts w:hint="eastAsia" w:ascii="仿宋_GB2312" w:eastAsia="仿宋_GB2312"/>
                <w:spacing w:val="-4"/>
                <w:sz w:val="32"/>
                <w:szCs w:val="32"/>
              </w:rPr>
            </w:pPr>
            <w:r>
              <w:rPr>
                <w:rFonts w:ascii="仿宋_GB2312" w:eastAsia="仿宋_GB2312"/>
                <w:spacing w:val="-4"/>
                <w:sz w:val="32"/>
                <w:szCs w:val="32"/>
              </w:rPr>
              <w:t>第三作者</w:t>
            </w:r>
          </w:p>
        </w:tc>
        <w:tc>
          <w:tcPr>
            <w:tcW w:w="2893" w:type="dxa"/>
          </w:tcPr>
          <w:p w14:paraId="78654B3B">
            <w:pPr>
              <w:spacing w:before="220" w:line="187" w:lineRule="auto"/>
              <w:ind w:left="1213"/>
              <w:rPr>
                <w:rFonts w:hint="eastAsia" w:ascii="仿宋_GB2312" w:eastAsia="仿宋_GB2312"/>
                <w:spacing w:val="-4"/>
                <w:sz w:val="32"/>
                <w:szCs w:val="32"/>
              </w:rPr>
            </w:pPr>
            <w:r>
              <w:rPr>
                <w:rFonts w:ascii="仿宋_GB2312" w:eastAsia="仿宋_GB2312"/>
                <w:spacing w:val="-4"/>
                <w:sz w:val="32"/>
                <w:szCs w:val="32"/>
              </w:rPr>
              <w:t>0.6</w:t>
            </w:r>
          </w:p>
        </w:tc>
      </w:tr>
    </w:tbl>
    <w:p w14:paraId="05A0F273">
      <w:pPr>
        <w:rPr>
          <w:rFonts w:hint="eastAsia" w:ascii="仿宋_GB2312" w:eastAsia="仿宋_GB2312"/>
          <w:spacing w:val="-4"/>
          <w:sz w:val="32"/>
          <w:szCs w:val="32"/>
        </w:rPr>
        <w:sectPr>
          <w:footerReference r:id="rId3" w:type="default"/>
          <w:pgSz w:w="11906" w:h="16839"/>
          <w:pgMar w:top="1431" w:right="1161" w:bottom="1150" w:left="1598" w:header="0" w:footer="987" w:gutter="0"/>
          <w:pgNumType w:fmt="numberInDash"/>
          <w:cols w:space="720" w:num="1"/>
        </w:sectPr>
      </w:pPr>
    </w:p>
    <w:p w14:paraId="31CBEC0C">
      <w:pPr>
        <w:spacing w:before="91"/>
        <w:rPr>
          <w:rFonts w:hint="eastAsia" w:ascii="仿宋_GB2312" w:eastAsia="仿宋_GB2312"/>
          <w:spacing w:val="-4"/>
          <w:sz w:val="32"/>
          <w:szCs w:val="32"/>
        </w:rPr>
      </w:pPr>
    </w:p>
    <w:tbl>
      <w:tblPr>
        <w:tblStyle w:val="9"/>
        <w:tblW w:w="8526" w:type="dxa"/>
        <w:tblInd w:w="1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43"/>
        <w:gridCol w:w="2839"/>
        <w:gridCol w:w="2844"/>
      </w:tblGrid>
      <w:tr w14:paraId="3A758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2843" w:type="dxa"/>
            <w:vMerge w:val="restart"/>
            <w:tcBorders>
              <w:bottom w:val="nil"/>
            </w:tcBorders>
          </w:tcPr>
          <w:p w14:paraId="772B4C77">
            <w:pPr>
              <w:spacing w:line="322" w:lineRule="auto"/>
              <w:rPr>
                <w:rFonts w:ascii="仿宋_GB2312" w:eastAsia="仿宋_GB2312"/>
                <w:spacing w:val="-4"/>
                <w:sz w:val="32"/>
                <w:szCs w:val="32"/>
              </w:rPr>
            </w:pPr>
          </w:p>
          <w:p w14:paraId="532175B4">
            <w:pPr>
              <w:spacing w:line="322" w:lineRule="auto"/>
              <w:rPr>
                <w:rFonts w:ascii="仿宋_GB2312" w:eastAsia="仿宋_GB2312"/>
                <w:spacing w:val="-4"/>
                <w:sz w:val="32"/>
                <w:szCs w:val="32"/>
              </w:rPr>
            </w:pPr>
          </w:p>
          <w:p w14:paraId="45AD59A0">
            <w:pPr>
              <w:pStyle w:val="10"/>
              <w:spacing w:before="101" w:line="225" w:lineRule="auto"/>
              <w:ind w:left="1073"/>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T2 类</w:t>
            </w:r>
          </w:p>
        </w:tc>
        <w:tc>
          <w:tcPr>
            <w:tcW w:w="2839" w:type="dxa"/>
          </w:tcPr>
          <w:p w14:paraId="265423CC">
            <w:pPr>
              <w:pStyle w:val="10"/>
              <w:spacing w:before="181"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第一作者</w:t>
            </w:r>
          </w:p>
        </w:tc>
        <w:tc>
          <w:tcPr>
            <w:tcW w:w="2844" w:type="dxa"/>
          </w:tcPr>
          <w:p w14:paraId="04EE0654">
            <w:pPr>
              <w:pStyle w:val="10"/>
              <w:spacing w:before="222" w:line="187" w:lineRule="auto"/>
              <w:ind w:left="1203"/>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2.4</w:t>
            </w:r>
          </w:p>
        </w:tc>
      </w:tr>
      <w:tr w14:paraId="3B0EE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843" w:type="dxa"/>
            <w:vMerge w:val="continue"/>
            <w:tcBorders>
              <w:top w:val="nil"/>
              <w:bottom w:val="nil"/>
            </w:tcBorders>
          </w:tcPr>
          <w:p w14:paraId="49D6626F">
            <w:pPr>
              <w:rPr>
                <w:rFonts w:ascii="仿宋_GB2312" w:eastAsia="仿宋_GB2312"/>
                <w:spacing w:val="-4"/>
                <w:sz w:val="32"/>
                <w:szCs w:val="32"/>
              </w:rPr>
            </w:pPr>
          </w:p>
        </w:tc>
        <w:tc>
          <w:tcPr>
            <w:tcW w:w="2839" w:type="dxa"/>
          </w:tcPr>
          <w:p w14:paraId="408B14E4">
            <w:pPr>
              <w:pStyle w:val="10"/>
              <w:spacing w:before="176"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第二作者</w:t>
            </w:r>
          </w:p>
        </w:tc>
        <w:tc>
          <w:tcPr>
            <w:tcW w:w="2844" w:type="dxa"/>
          </w:tcPr>
          <w:p w14:paraId="32AD3D21">
            <w:pPr>
              <w:pStyle w:val="10"/>
              <w:spacing w:before="217"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0.96</w:t>
            </w:r>
          </w:p>
        </w:tc>
      </w:tr>
      <w:tr w14:paraId="4ADB8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843" w:type="dxa"/>
            <w:vMerge w:val="continue"/>
            <w:tcBorders>
              <w:top w:val="nil"/>
            </w:tcBorders>
          </w:tcPr>
          <w:p w14:paraId="46C226F9">
            <w:pPr>
              <w:rPr>
                <w:rFonts w:ascii="仿宋_GB2312" w:eastAsia="仿宋_GB2312"/>
                <w:spacing w:val="-4"/>
                <w:sz w:val="32"/>
                <w:szCs w:val="32"/>
              </w:rPr>
            </w:pPr>
          </w:p>
        </w:tc>
        <w:tc>
          <w:tcPr>
            <w:tcW w:w="2839" w:type="dxa"/>
          </w:tcPr>
          <w:p w14:paraId="215DFFB7">
            <w:pPr>
              <w:pStyle w:val="10"/>
              <w:spacing w:before="178"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第三作者</w:t>
            </w:r>
          </w:p>
        </w:tc>
        <w:tc>
          <w:tcPr>
            <w:tcW w:w="2844" w:type="dxa"/>
          </w:tcPr>
          <w:p w14:paraId="2E27E07B">
            <w:pPr>
              <w:pStyle w:val="10"/>
              <w:spacing w:before="219"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0.48</w:t>
            </w:r>
          </w:p>
        </w:tc>
      </w:tr>
      <w:tr w14:paraId="25FCE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843" w:type="dxa"/>
            <w:vMerge w:val="restart"/>
            <w:tcBorders>
              <w:bottom w:val="nil"/>
            </w:tcBorders>
          </w:tcPr>
          <w:p w14:paraId="64257928">
            <w:pPr>
              <w:spacing w:line="321" w:lineRule="auto"/>
              <w:rPr>
                <w:rFonts w:ascii="仿宋_GB2312" w:eastAsia="仿宋_GB2312"/>
                <w:spacing w:val="-4"/>
                <w:sz w:val="32"/>
                <w:szCs w:val="32"/>
              </w:rPr>
            </w:pPr>
          </w:p>
          <w:p w14:paraId="0CA5E247">
            <w:pPr>
              <w:spacing w:line="322" w:lineRule="auto"/>
              <w:rPr>
                <w:rFonts w:ascii="仿宋_GB2312" w:eastAsia="仿宋_GB2312"/>
                <w:spacing w:val="-4"/>
                <w:sz w:val="32"/>
                <w:szCs w:val="32"/>
              </w:rPr>
            </w:pPr>
          </w:p>
          <w:p w14:paraId="52E6831A">
            <w:pPr>
              <w:pStyle w:val="10"/>
              <w:spacing w:before="101" w:line="225" w:lineRule="auto"/>
              <w:ind w:left="1151"/>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A 类</w:t>
            </w:r>
          </w:p>
        </w:tc>
        <w:tc>
          <w:tcPr>
            <w:tcW w:w="2839" w:type="dxa"/>
          </w:tcPr>
          <w:p w14:paraId="704056F5">
            <w:pPr>
              <w:pStyle w:val="10"/>
              <w:spacing w:before="178"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第一作者</w:t>
            </w:r>
          </w:p>
        </w:tc>
        <w:tc>
          <w:tcPr>
            <w:tcW w:w="2844" w:type="dxa"/>
          </w:tcPr>
          <w:p w14:paraId="6F54DF06">
            <w:pPr>
              <w:pStyle w:val="10"/>
              <w:spacing w:before="219" w:line="187" w:lineRule="auto"/>
              <w:ind w:left="1211"/>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1.8</w:t>
            </w:r>
          </w:p>
        </w:tc>
      </w:tr>
      <w:tr w14:paraId="45D16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843" w:type="dxa"/>
            <w:vMerge w:val="continue"/>
            <w:tcBorders>
              <w:top w:val="nil"/>
              <w:bottom w:val="nil"/>
            </w:tcBorders>
          </w:tcPr>
          <w:p w14:paraId="72B4A4CB">
            <w:pPr>
              <w:rPr>
                <w:rFonts w:ascii="仿宋_GB2312" w:eastAsia="仿宋_GB2312"/>
                <w:spacing w:val="-4"/>
                <w:sz w:val="32"/>
                <w:szCs w:val="32"/>
              </w:rPr>
            </w:pPr>
          </w:p>
        </w:tc>
        <w:tc>
          <w:tcPr>
            <w:tcW w:w="2839" w:type="dxa"/>
          </w:tcPr>
          <w:p w14:paraId="1722FB61">
            <w:pPr>
              <w:pStyle w:val="10"/>
              <w:spacing w:before="180"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第二作者</w:t>
            </w:r>
          </w:p>
        </w:tc>
        <w:tc>
          <w:tcPr>
            <w:tcW w:w="2844" w:type="dxa"/>
          </w:tcPr>
          <w:p w14:paraId="341286FD">
            <w:pPr>
              <w:pStyle w:val="10"/>
              <w:spacing w:before="221"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0.72</w:t>
            </w:r>
          </w:p>
        </w:tc>
      </w:tr>
      <w:tr w14:paraId="384D3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continue"/>
            <w:tcBorders>
              <w:top w:val="nil"/>
            </w:tcBorders>
          </w:tcPr>
          <w:p w14:paraId="0E78CAC3">
            <w:pPr>
              <w:rPr>
                <w:rFonts w:ascii="仿宋_GB2312" w:eastAsia="仿宋_GB2312"/>
                <w:spacing w:val="-4"/>
                <w:sz w:val="32"/>
                <w:szCs w:val="32"/>
              </w:rPr>
            </w:pPr>
          </w:p>
        </w:tc>
        <w:tc>
          <w:tcPr>
            <w:tcW w:w="2839" w:type="dxa"/>
          </w:tcPr>
          <w:p w14:paraId="4B0757FB">
            <w:pPr>
              <w:pStyle w:val="10"/>
              <w:spacing w:before="180"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第三作者</w:t>
            </w:r>
          </w:p>
        </w:tc>
        <w:tc>
          <w:tcPr>
            <w:tcW w:w="2844" w:type="dxa"/>
          </w:tcPr>
          <w:p w14:paraId="73C71A69">
            <w:pPr>
              <w:pStyle w:val="10"/>
              <w:spacing w:before="221"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0.36</w:t>
            </w:r>
          </w:p>
        </w:tc>
      </w:tr>
      <w:tr w14:paraId="287CA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restart"/>
            <w:tcBorders>
              <w:bottom w:val="nil"/>
            </w:tcBorders>
          </w:tcPr>
          <w:p w14:paraId="04B8757E">
            <w:pPr>
              <w:spacing w:line="322" w:lineRule="auto"/>
              <w:rPr>
                <w:rFonts w:ascii="仿宋_GB2312" w:eastAsia="仿宋_GB2312"/>
                <w:spacing w:val="-4"/>
                <w:sz w:val="32"/>
                <w:szCs w:val="32"/>
              </w:rPr>
            </w:pPr>
          </w:p>
          <w:p w14:paraId="33801C2B">
            <w:pPr>
              <w:spacing w:line="322" w:lineRule="auto"/>
              <w:rPr>
                <w:rFonts w:ascii="仿宋_GB2312" w:eastAsia="仿宋_GB2312"/>
                <w:spacing w:val="-4"/>
                <w:sz w:val="32"/>
                <w:szCs w:val="32"/>
              </w:rPr>
            </w:pPr>
          </w:p>
          <w:p w14:paraId="54C57CB4">
            <w:pPr>
              <w:pStyle w:val="10"/>
              <w:spacing w:before="101" w:line="225" w:lineRule="auto"/>
              <w:ind w:left="1151"/>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B 类</w:t>
            </w:r>
          </w:p>
        </w:tc>
        <w:tc>
          <w:tcPr>
            <w:tcW w:w="2839" w:type="dxa"/>
          </w:tcPr>
          <w:p w14:paraId="374DF27D">
            <w:pPr>
              <w:pStyle w:val="10"/>
              <w:spacing w:before="181"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第一作者</w:t>
            </w:r>
          </w:p>
        </w:tc>
        <w:tc>
          <w:tcPr>
            <w:tcW w:w="2844" w:type="dxa"/>
          </w:tcPr>
          <w:p w14:paraId="445C6ADE">
            <w:pPr>
              <w:pStyle w:val="10"/>
              <w:spacing w:before="222" w:line="187" w:lineRule="auto"/>
              <w:ind w:left="1211"/>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1.2</w:t>
            </w:r>
          </w:p>
        </w:tc>
      </w:tr>
      <w:tr w14:paraId="6549A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continue"/>
            <w:tcBorders>
              <w:top w:val="nil"/>
              <w:bottom w:val="nil"/>
            </w:tcBorders>
          </w:tcPr>
          <w:p w14:paraId="525633DD">
            <w:pPr>
              <w:rPr>
                <w:rFonts w:ascii="仿宋_GB2312" w:eastAsia="仿宋_GB2312"/>
                <w:spacing w:val="-4"/>
                <w:sz w:val="32"/>
                <w:szCs w:val="32"/>
              </w:rPr>
            </w:pPr>
          </w:p>
        </w:tc>
        <w:tc>
          <w:tcPr>
            <w:tcW w:w="2839" w:type="dxa"/>
          </w:tcPr>
          <w:p w14:paraId="501080B2">
            <w:pPr>
              <w:pStyle w:val="10"/>
              <w:spacing w:before="180"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第二作者</w:t>
            </w:r>
          </w:p>
        </w:tc>
        <w:tc>
          <w:tcPr>
            <w:tcW w:w="2844" w:type="dxa"/>
          </w:tcPr>
          <w:p w14:paraId="24261D95">
            <w:pPr>
              <w:pStyle w:val="10"/>
              <w:spacing w:before="221"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0.48</w:t>
            </w:r>
          </w:p>
        </w:tc>
      </w:tr>
      <w:tr w14:paraId="090D3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continue"/>
            <w:tcBorders>
              <w:top w:val="nil"/>
            </w:tcBorders>
          </w:tcPr>
          <w:p w14:paraId="56734B7B">
            <w:pPr>
              <w:rPr>
                <w:rFonts w:ascii="仿宋_GB2312" w:eastAsia="仿宋_GB2312"/>
                <w:spacing w:val="-4"/>
                <w:sz w:val="32"/>
                <w:szCs w:val="32"/>
              </w:rPr>
            </w:pPr>
          </w:p>
        </w:tc>
        <w:tc>
          <w:tcPr>
            <w:tcW w:w="2839" w:type="dxa"/>
          </w:tcPr>
          <w:p w14:paraId="2023A293">
            <w:pPr>
              <w:pStyle w:val="10"/>
              <w:spacing w:before="181"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第三作者</w:t>
            </w:r>
          </w:p>
        </w:tc>
        <w:tc>
          <w:tcPr>
            <w:tcW w:w="2844" w:type="dxa"/>
          </w:tcPr>
          <w:p w14:paraId="1220A2AB">
            <w:pPr>
              <w:pStyle w:val="10"/>
              <w:spacing w:before="222"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0.24</w:t>
            </w:r>
          </w:p>
        </w:tc>
      </w:tr>
      <w:tr w14:paraId="5157D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restart"/>
            <w:tcBorders>
              <w:bottom w:val="nil"/>
            </w:tcBorders>
          </w:tcPr>
          <w:p w14:paraId="5ACEAA6A">
            <w:pPr>
              <w:spacing w:line="322" w:lineRule="auto"/>
              <w:rPr>
                <w:rFonts w:ascii="仿宋_GB2312" w:eastAsia="仿宋_GB2312"/>
                <w:spacing w:val="-4"/>
                <w:sz w:val="32"/>
                <w:szCs w:val="32"/>
              </w:rPr>
            </w:pPr>
          </w:p>
          <w:p w14:paraId="456C914E">
            <w:pPr>
              <w:spacing w:line="323" w:lineRule="auto"/>
              <w:rPr>
                <w:rFonts w:ascii="仿宋_GB2312" w:eastAsia="仿宋_GB2312"/>
                <w:spacing w:val="-4"/>
                <w:sz w:val="32"/>
                <w:szCs w:val="32"/>
              </w:rPr>
            </w:pPr>
          </w:p>
          <w:p w14:paraId="710F2D48">
            <w:pPr>
              <w:pStyle w:val="10"/>
              <w:spacing w:before="101" w:line="225" w:lineRule="auto"/>
              <w:ind w:left="1152"/>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C 类</w:t>
            </w:r>
          </w:p>
        </w:tc>
        <w:tc>
          <w:tcPr>
            <w:tcW w:w="2839" w:type="dxa"/>
          </w:tcPr>
          <w:p w14:paraId="6E491C17">
            <w:pPr>
              <w:pStyle w:val="10"/>
              <w:spacing w:before="180"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第一作者</w:t>
            </w:r>
          </w:p>
        </w:tc>
        <w:tc>
          <w:tcPr>
            <w:tcW w:w="2844" w:type="dxa"/>
          </w:tcPr>
          <w:p w14:paraId="05C77ECB">
            <w:pPr>
              <w:pStyle w:val="10"/>
              <w:spacing w:before="221" w:line="187" w:lineRule="auto"/>
              <w:ind w:left="1213"/>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0.6</w:t>
            </w:r>
          </w:p>
        </w:tc>
      </w:tr>
      <w:tr w14:paraId="010EC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43" w:type="dxa"/>
            <w:vMerge w:val="continue"/>
            <w:tcBorders>
              <w:top w:val="nil"/>
              <w:bottom w:val="nil"/>
            </w:tcBorders>
          </w:tcPr>
          <w:p w14:paraId="32B41C62">
            <w:pPr>
              <w:rPr>
                <w:rFonts w:ascii="仿宋_GB2312" w:eastAsia="仿宋_GB2312"/>
                <w:spacing w:val="-4"/>
                <w:sz w:val="32"/>
                <w:szCs w:val="32"/>
              </w:rPr>
            </w:pPr>
          </w:p>
        </w:tc>
        <w:tc>
          <w:tcPr>
            <w:tcW w:w="2839" w:type="dxa"/>
          </w:tcPr>
          <w:p w14:paraId="42B1A050">
            <w:pPr>
              <w:pStyle w:val="10"/>
              <w:spacing w:before="181"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第二作者</w:t>
            </w:r>
          </w:p>
        </w:tc>
        <w:tc>
          <w:tcPr>
            <w:tcW w:w="2844" w:type="dxa"/>
          </w:tcPr>
          <w:p w14:paraId="335FE632">
            <w:pPr>
              <w:pStyle w:val="10"/>
              <w:spacing w:before="222"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0.24</w:t>
            </w:r>
          </w:p>
        </w:tc>
      </w:tr>
      <w:tr w14:paraId="4F2C2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2843" w:type="dxa"/>
            <w:vMerge w:val="continue"/>
            <w:tcBorders>
              <w:top w:val="nil"/>
            </w:tcBorders>
          </w:tcPr>
          <w:p w14:paraId="2F78B5A1">
            <w:pPr>
              <w:rPr>
                <w:rFonts w:ascii="仿宋_GB2312" w:eastAsia="仿宋_GB2312"/>
                <w:spacing w:val="-4"/>
                <w:sz w:val="32"/>
                <w:szCs w:val="32"/>
              </w:rPr>
            </w:pPr>
          </w:p>
        </w:tc>
        <w:tc>
          <w:tcPr>
            <w:tcW w:w="2839" w:type="dxa"/>
          </w:tcPr>
          <w:p w14:paraId="44DCA8E5">
            <w:pPr>
              <w:pStyle w:val="10"/>
              <w:spacing w:before="180" w:line="220" w:lineRule="auto"/>
              <w:ind w:left="806"/>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第三作者</w:t>
            </w:r>
          </w:p>
        </w:tc>
        <w:tc>
          <w:tcPr>
            <w:tcW w:w="2844" w:type="dxa"/>
          </w:tcPr>
          <w:p w14:paraId="60484280">
            <w:pPr>
              <w:pStyle w:val="10"/>
              <w:spacing w:before="221" w:line="187" w:lineRule="auto"/>
              <w:ind w:left="1134"/>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0.12</w:t>
            </w:r>
          </w:p>
        </w:tc>
      </w:tr>
    </w:tbl>
    <w:p w14:paraId="6AF480A4">
      <w:pPr>
        <w:pStyle w:val="2"/>
        <w:spacing w:before="177" w:line="317" w:lineRule="auto"/>
        <w:ind w:left="24" w:right="69" w:hanging="24"/>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（表中未提及的作者排序不予加分，本细则所提及的作者排序按实际排位顺序计算，不设共同第一作者。）</w:t>
      </w:r>
    </w:p>
    <w:p w14:paraId="40F7F7AF">
      <w:pPr>
        <w:pStyle w:val="2"/>
        <w:spacing w:before="57" w:line="322" w:lineRule="auto"/>
        <w:ind w:left="4" w:right="33" w:firstLine="668"/>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收录的正式刊物论文，以图书馆出具的最新收录证明为准，论文收录时间必须在参评当年的8月31日前，无法开具图书馆检索收录证明的论文（即未被收录），不予加分。</w:t>
      </w:r>
    </w:p>
    <w:p w14:paraId="03E5C1D4">
      <w:pPr>
        <w:pStyle w:val="2"/>
        <w:spacing w:before="56" w:line="222" w:lineRule="auto"/>
        <w:ind w:left="661"/>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2.知识产权</w:t>
      </w:r>
    </w:p>
    <w:p w14:paraId="43886278">
      <w:pPr>
        <w:pStyle w:val="2"/>
        <w:spacing w:before="186" w:line="326" w:lineRule="auto"/>
        <w:ind w:left="10" w:firstLine="650"/>
        <w:rPr>
          <w:rFonts w:hint="eastAsia" w:ascii="仿宋_GB2312" w:eastAsia="仿宋_GB2312" w:hAnsiTheme="minorHAnsi" w:cstheme="minorBidi"/>
          <w:spacing w:val="-4"/>
          <w:sz w:val="32"/>
          <w:szCs w:val="32"/>
          <w:lang w:eastAsia="zh-CN"/>
        </w:rPr>
        <w:sectPr>
          <w:footerReference r:id="rId4" w:type="default"/>
          <w:pgSz w:w="11906" w:h="16839"/>
          <w:pgMar w:top="1431" w:right="1404" w:bottom="1152" w:left="1590" w:header="0" w:footer="987" w:gutter="0"/>
          <w:pgNumType w:fmt="numberInDash"/>
          <w:cols w:space="720" w:num="1"/>
        </w:sectPr>
      </w:pPr>
      <w:r>
        <w:rPr>
          <w:rFonts w:ascii="仿宋_GB2312" w:eastAsia="仿宋_GB2312" w:hAnsiTheme="minorHAnsi" w:cstheme="minorBidi"/>
          <w:spacing w:val="-4"/>
          <w:sz w:val="32"/>
          <w:szCs w:val="32"/>
          <w:lang w:eastAsia="zh-CN"/>
        </w:rPr>
        <w:t>华南农业大学为第一知识产权（署名）单位，学生本人为第1完成人（或导师为第1完成人学生排位第2名，其余排名不加分）申请并获批与本专业相关的国家（国际）发明专利、实用新型专利和外观设计专利等，此项加分累计不超过3分。具体如下：</w:t>
      </w:r>
    </w:p>
    <w:p w14:paraId="5DB1233E">
      <w:pPr>
        <w:spacing w:before="91"/>
        <w:rPr>
          <w:rFonts w:hint="eastAsia" w:ascii="仿宋_GB2312" w:eastAsia="仿宋_GB2312"/>
          <w:spacing w:val="-4"/>
          <w:sz w:val="32"/>
          <w:szCs w:val="32"/>
        </w:rPr>
      </w:pPr>
    </w:p>
    <w:tbl>
      <w:tblPr>
        <w:tblStyle w:val="9"/>
        <w:tblW w:w="7326" w:type="dxa"/>
        <w:tblInd w:w="14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91"/>
        <w:gridCol w:w="2835"/>
      </w:tblGrid>
      <w:tr w14:paraId="35F94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4491" w:type="dxa"/>
            <w:vAlign w:val="center"/>
          </w:tcPr>
          <w:p w14:paraId="346E36A6">
            <w:pPr>
              <w:pStyle w:val="10"/>
              <w:spacing w:before="101" w:line="224"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项目</w:t>
            </w:r>
          </w:p>
        </w:tc>
        <w:tc>
          <w:tcPr>
            <w:tcW w:w="2835" w:type="dxa"/>
            <w:vAlign w:val="center"/>
          </w:tcPr>
          <w:p w14:paraId="63A116EC">
            <w:pPr>
              <w:pStyle w:val="10"/>
              <w:spacing w:before="101" w:line="224"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加分</w:t>
            </w:r>
          </w:p>
        </w:tc>
      </w:tr>
      <w:tr w14:paraId="4CE0A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4491" w:type="dxa"/>
            <w:vAlign w:val="center"/>
          </w:tcPr>
          <w:p w14:paraId="1B7CD90A">
            <w:pPr>
              <w:pStyle w:val="10"/>
              <w:spacing w:before="101" w:line="222"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已授权的发明专利</w:t>
            </w:r>
          </w:p>
        </w:tc>
        <w:tc>
          <w:tcPr>
            <w:tcW w:w="2835" w:type="dxa"/>
            <w:vAlign w:val="center"/>
          </w:tcPr>
          <w:p w14:paraId="340F5FF2">
            <w:pPr>
              <w:pStyle w:val="10"/>
              <w:spacing w:before="101" w:line="185"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3</w:t>
            </w:r>
          </w:p>
        </w:tc>
      </w:tr>
      <w:tr w14:paraId="3AF2A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4491" w:type="dxa"/>
            <w:vAlign w:val="center"/>
          </w:tcPr>
          <w:p w14:paraId="611F16CD">
            <w:pPr>
              <w:pStyle w:val="10"/>
              <w:spacing w:before="179" w:line="278" w:lineRule="auto"/>
              <w:ind w:right="16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已授权的实用新型专利、外观 设计专利</w:t>
            </w:r>
          </w:p>
        </w:tc>
        <w:tc>
          <w:tcPr>
            <w:tcW w:w="2835" w:type="dxa"/>
            <w:vAlign w:val="center"/>
          </w:tcPr>
          <w:p w14:paraId="11531252">
            <w:pPr>
              <w:pStyle w:val="1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r>
      <w:tr w14:paraId="51756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491" w:type="dxa"/>
            <w:vAlign w:val="center"/>
          </w:tcPr>
          <w:p w14:paraId="78BE4F8B">
            <w:pPr>
              <w:pStyle w:val="10"/>
              <w:spacing w:before="100" w:line="220"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已授权的软件著作权</w:t>
            </w:r>
          </w:p>
        </w:tc>
        <w:tc>
          <w:tcPr>
            <w:tcW w:w="2835" w:type="dxa"/>
            <w:vAlign w:val="center"/>
          </w:tcPr>
          <w:p w14:paraId="37C31124">
            <w:pPr>
              <w:pStyle w:val="10"/>
              <w:spacing w:before="100"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r>
    </w:tbl>
    <w:p w14:paraId="21DE3837">
      <w:pPr>
        <w:pStyle w:val="2"/>
        <w:spacing w:before="176" w:line="319" w:lineRule="auto"/>
        <w:ind w:left="210" w:leftChars="100" w:right="1554" w:firstLine="936" w:firstLineChars="300"/>
        <w:rPr>
          <w:rFonts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（授权时间以正式授权的发明专利证书落款时间为准。）</w:t>
      </w:r>
    </w:p>
    <w:p w14:paraId="20104FAD">
      <w:pPr>
        <w:pStyle w:val="2"/>
        <w:spacing w:before="176" w:line="319" w:lineRule="auto"/>
        <w:ind w:left="210" w:leftChars="100" w:right="1554" w:firstLine="1248" w:firstLineChars="400"/>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3.学生竞赛</w:t>
      </w:r>
    </w:p>
    <w:p w14:paraId="2CCD5FD7">
      <w:pPr>
        <w:pStyle w:val="2"/>
        <w:spacing w:before="46" w:line="299" w:lineRule="auto"/>
        <w:ind w:left="715" w:right="705" w:firstLine="659"/>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学生竞赛参照现行《华南农业大学学生竞赛奖励办法》类型进行。不同赛事获奖可累计加分，同一项目相同赛事获奖只取最高奖励加分一次，此项加分累计不超过4分。</w:t>
      </w:r>
    </w:p>
    <w:tbl>
      <w:tblPr>
        <w:tblStyle w:val="9"/>
        <w:tblW w:w="102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4"/>
        <w:gridCol w:w="2268"/>
        <w:gridCol w:w="1286"/>
        <w:gridCol w:w="1266"/>
        <w:gridCol w:w="3402"/>
      </w:tblGrid>
      <w:tr w14:paraId="183BF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984" w:type="dxa"/>
            <w:vAlign w:val="center"/>
          </w:tcPr>
          <w:p w14:paraId="5DE2733A">
            <w:pPr>
              <w:pStyle w:val="10"/>
              <w:keepNext w:val="0"/>
              <w:keepLines w:val="0"/>
              <w:pageBreakBefore w:val="0"/>
              <w:wordWrap/>
              <w:overflowPunct/>
              <w:topLinePunct w:val="0"/>
              <w:bidi w:val="0"/>
              <w:spacing w:before="185" w:line="22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赛事类别</w:t>
            </w:r>
          </w:p>
        </w:tc>
        <w:tc>
          <w:tcPr>
            <w:tcW w:w="2268" w:type="dxa"/>
            <w:vAlign w:val="center"/>
          </w:tcPr>
          <w:p w14:paraId="536B53C8">
            <w:pPr>
              <w:pStyle w:val="10"/>
              <w:keepNext w:val="0"/>
              <w:keepLines w:val="0"/>
              <w:pageBreakBefore w:val="0"/>
              <w:wordWrap/>
              <w:overflowPunct/>
              <w:topLinePunct w:val="0"/>
              <w:bidi w:val="0"/>
              <w:spacing w:before="185" w:line="223" w:lineRule="auto"/>
              <w:ind w:left="512"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赛事划分</w:t>
            </w:r>
          </w:p>
        </w:tc>
        <w:tc>
          <w:tcPr>
            <w:tcW w:w="1286" w:type="dxa"/>
            <w:vAlign w:val="center"/>
          </w:tcPr>
          <w:p w14:paraId="577A0615">
            <w:pPr>
              <w:pStyle w:val="10"/>
              <w:keepNext w:val="0"/>
              <w:keepLines w:val="0"/>
              <w:pageBreakBefore w:val="0"/>
              <w:wordWrap/>
              <w:overflowPunct/>
              <w:topLinePunct w:val="0"/>
              <w:bidi w:val="0"/>
              <w:spacing w:before="185" w:line="222" w:lineRule="auto"/>
              <w:ind w:left="186"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获奖等级</w:t>
            </w:r>
          </w:p>
        </w:tc>
        <w:tc>
          <w:tcPr>
            <w:tcW w:w="1266" w:type="dxa"/>
            <w:vAlign w:val="center"/>
          </w:tcPr>
          <w:p w14:paraId="7F483914">
            <w:pPr>
              <w:pStyle w:val="10"/>
              <w:keepNext w:val="0"/>
              <w:keepLines w:val="0"/>
              <w:pageBreakBefore w:val="0"/>
              <w:wordWrap/>
              <w:overflowPunct/>
              <w:topLinePunct w:val="0"/>
              <w:bidi w:val="0"/>
              <w:spacing w:before="184" w:line="224"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加分</w:t>
            </w:r>
          </w:p>
        </w:tc>
        <w:tc>
          <w:tcPr>
            <w:tcW w:w="3402" w:type="dxa"/>
            <w:vAlign w:val="center"/>
          </w:tcPr>
          <w:p w14:paraId="10C2B239">
            <w:pPr>
              <w:pStyle w:val="10"/>
              <w:keepNext w:val="0"/>
              <w:keepLines w:val="0"/>
              <w:pageBreakBefore w:val="0"/>
              <w:wordWrap/>
              <w:overflowPunct/>
              <w:topLinePunct w:val="0"/>
              <w:bidi w:val="0"/>
              <w:spacing w:before="184"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补充说明</w:t>
            </w:r>
          </w:p>
        </w:tc>
      </w:tr>
      <w:tr w14:paraId="2776E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3" w:hRule="atLeast"/>
        </w:trPr>
        <w:tc>
          <w:tcPr>
            <w:tcW w:w="1984" w:type="dxa"/>
            <w:vMerge w:val="restart"/>
            <w:vAlign w:val="center"/>
          </w:tcPr>
          <w:p w14:paraId="3FC7E650">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科技竞赛</w:t>
            </w:r>
          </w:p>
        </w:tc>
        <w:tc>
          <w:tcPr>
            <w:tcW w:w="2268" w:type="dxa"/>
            <w:vMerge w:val="restart"/>
            <w:vAlign w:val="center"/>
          </w:tcPr>
          <w:p w14:paraId="7B154EFA">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教育部中国高等教育学会科技竞赛名录中的赛事</w:t>
            </w:r>
            <w:r>
              <w:rPr>
                <w:rFonts w:hint="eastAsia" w:ascii="仿宋_GB2312" w:eastAsia="仿宋_GB2312" w:hAnsiTheme="minorHAnsi" w:cstheme="minorBidi"/>
                <w:snapToGrid/>
                <w:color w:val="auto"/>
                <w:spacing w:val="-4"/>
                <w:kern w:val="2"/>
                <w:sz w:val="32"/>
                <w:szCs w:val="32"/>
                <w:lang w:eastAsia="zh-CN"/>
              </w:rPr>
              <w:t>（</w:t>
            </w:r>
            <w:r>
              <w:rPr>
                <w:rFonts w:hint="eastAsia" w:ascii="仿宋_GB2312" w:eastAsia="仿宋_GB2312" w:hAnsiTheme="minorHAnsi" w:cstheme="minorBidi"/>
                <w:snapToGrid/>
                <w:color w:val="auto"/>
                <w:spacing w:val="-4"/>
                <w:kern w:val="2"/>
                <w:sz w:val="32"/>
                <w:szCs w:val="32"/>
                <w:lang w:val="en-US" w:eastAsia="zh-CN"/>
              </w:rPr>
              <w:t>以测评当年最新版本为准</w:t>
            </w:r>
            <w:r>
              <w:rPr>
                <w:rFonts w:hint="eastAsia" w:ascii="仿宋_GB2312" w:eastAsia="仿宋_GB2312" w:hAnsiTheme="minorHAnsi" w:cstheme="minorBidi"/>
                <w:snapToGrid/>
                <w:color w:val="auto"/>
                <w:spacing w:val="-4"/>
                <w:kern w:val="2"/>
                <w:sz w:val="32"/>
                <w:szCs w:val="32"/>
                <w:lang w:eastAsia="zh-CN"/>
              </w:rPr>
              <w:t>）</w:t>
            </w:r>
          </w:p>
        </w:tc>
        <w:tc>
          <w:tcPr>
            <w:tcW w:w="1286" w:type="dxa"/>
            <w:vAlign w:val="center"/>
          </w:tcPr>
          <w:p w14:paraId="40B52287">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55FF6EA6">
            <w:pPr>
              <w:pStyle w:val="10"/>
              <w:keepNext w:val="0"/>
              <w:keepLines w:val="0"/>
              <w:pageBreakBefore w:val="0"/>
              <w:wordWrap/>
              <w:overflowPunct/>
              <w:topLinePunct w:val="0"/>
              <w:bidi w:val="0"/>
              <w:spacing w:before="101" w:line="185"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3</w:t>
            </w:r>
          </w:p>
        </w:tc>
        <w:tc>
          <w:tcPr>
            <w:tcW w:w="3402" w:type="dxa"/>
            <w:vMerge w:val="restart"/>
            <w:vAlign w:val="center"/>
          </w:tcPr>
          <w:p w14:paraId="387CD151">
            <w:pPr>
              <w:pStyle w:val="10"/>
              <w:keepNext w:val="0"/>
              <w:keepLines w:val="0"/>
              <w:pageBreakBefore w:val="0"/>
              <w:wordWrap/>
              <w:overflowPunct/>
              <w:topLinePunct w:val="0"/>
              <w:bidi w:val="0"/>
              <w:spacing w:before="100" w:line="323" w:lineRule="auto"/>
              <w:ind w:left="118"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1.特等奖（金奖）按一等奖标准执行，依此类推，依次退一级</w:t>
            </w:r>
            <w:r>
              <w:rPr>
                <w:rFonts w:hint="eastAsia" w:ascii="仿宋_GB2312" w:eastAsia="仿宋_GB2312" w:hAnsiTheme="minorHAnsi" w:cstheme="minorBidi"/>
                <w:snapToGrid/>
                <w:color w:val="auto"/>
                <w:spacing w:val="-4"/>
                <w:kern w:val="2"/>
                <w:sz w:val="32"/>
                <w:szCs w:val="32"/>
                <w:lang w:eastAsia="zh-CN"/>
              </w:rPr>
              <w:t>执行</w:t>
            </w:r>
            <w:r>
              <w:rPr>
                <w:rFonts w:ascii="仿宋_GB2312" w:eastAsia="仿宋_GB2312" w:hAnsiTheme="minorHAnsi" w:cstheme="minorBidi"/>
                <w:snapToGrid/>
                <w:color w:val="auto"/>
                <w:spacing w:val="-4"/>
                <w:kern w:val="2"/>
                <w:sz w:val="32"/>
                <w:szCs w:val="32"/>
                <w:lang w:eastAsia="zh-CN"/>
              </w:rPr>
              <w:t>行；仅设名次的各类竞赛奖励标准：第1名按一等奖标准执行，2至3名按二等奖标准执行，4至6名按三等奖标准执行；仅设奖项名称的各类竞赛奖励标准：第一排序奖项按一等奖标准执行，第二排序奖项按二等奖标准执行，第三排序奖项按三等奖标准执行。2.在最高级别为国家级的同一赛事中仅获得省级奖项，则按国家级对应奖项加分标准*0.5。3.若为团队获奖，则除项目负责人外，其余团队成员加分按原有标准减半。</w:t>
            </w:r>
          </w:p>
        </w:tc>
      </w:tr>
      <w:tr w14:paraId="2F462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6" w:hRule="atLeast"/>
        </w:trPr>
        <w:tc>
          <w:tcPr>
            <w:tcW w:w="1984" w:type="dxa"/>
            <w:vMerge w:val="continue"/>
            <w:vAlign w:val="center"/>
          </w:tcPr>
          <w:p w14:paraId="0CB36307">
            <w:pPr>
              <w:keepNext w:val="0"/>
              <w:keepLines w:val="0"/>
              <w:pageBreakBefore w:val="0"/>
              <w:wordWrap/>
              <w:overflowPunct/>
              <w:topLinePunct w:val="0"/>
              <w:bidi w:val="0"/>
              <w:ind w:firstLine="0"/>
              <w:jc w:val="center"/>
              <w:rPr>
                <w:rFonts w:hint="eastAsia" w:ascii="仿宋_GB2312" w:eastAsia="仿宋_GB2312"/>
                <w:spacing w:val="-4"/>
                <w:sz w:val="32"/>
                <w:szCs w:val="32"/>
                <w:lang w:eastAsia="zh-CN"/>
              </w:rPr>
            </w:pPr>
          </w:p>
        </w:tc>
        <w:tc>
          <w:tcPr>
            <w:tcW w:w="2268" w:type="dxa"/>
            <w:vMerge w:val="continue"/>
            <w:vAlign w:val="center"/>
          </w:tcPr>
          <w:p w14:paraId="58EAAA6E">
            <w:pPr>
              <w:pStyle w:val="10"/>
              <w:keepNext w:val="0"/>
              <w:keepLines w:val="0"/>
              <w:pageBreakBefore w:val="0"/>
              <w:wordWrap/>
              <w:overflowPunct/>
              <w:topLinePunct w:val="0"/>
              <w:bidi w:val="0"/>
              <w:spacing w:before="181" w:line="223" w:lineRule="auto"/>
              <w:ind w:firstLine="0"/>
              <w:jc w:val="center"/>
              <w:rPr>
                <w:rFonts w:hint="eastAsia" w:ascii="仿宋_GB2312" w:eastAsia="仿宋_GB2312" w:hAnsiTheme="minorHAnsi" w:cstheme="minorBidi"/>
                <w:snapToGrid/>
                <w:color w:val="auto"/>
                <w:spacing w:val="-4"/>
                <w:kern w:val="2"/>
                <w:sz w:val="32"/>
                <w:szCs w:val="32"/>
                <w:lang w:eastAsia="zh-CN"/>
              </w:rPr>
            </w:pPr>
          </w:p>
        </w:tc>
        <w:tc>
          <w:tcPr>
            <w:tcW w:w="1286" w:type="dxa"/>
            <w:vAlign w:val="center"/>
          </w:tcPr>
          <w:p w14:paraId="3459285A">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679EF8C5">
            <w:pPr>
              <w:pStyle w:val="10"/>
              <w:keepNext w:val="0"/>
              <w:keepLines w:val="0"/>
              <w:pageBreakBefore w:val="0"/>
              <w:wordWrap/>
              <w:overflowPunct/>
              <w:topLinePunct w:val="0"/>
              <w:bidi w:val="0"/>
              <w:spacing w:before="101"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2.5</w:t>
            </w:r>
          </w:p>
        </w:tc>
        <w:tc>
          <w:tcPr>
            <w:tcW w:w="3402" w:type="dxa"/>
            <w:vMerge w:val="continue"/>
            <w:vAlign w:val="center"/>
          </w:tcPr>
          <w:p w14:paraId="1FF258D2">
            <w:pPr>
              <w:pStyle w:val="10"/>
              <w:keepNext w:val="0"/>
              <w:keepLines w:val="0"/>
              <w:pageBreakBefore w:val="0"/>
              <w:wordWrap/>
              <w:overflowPunct/>
              <w:topLinePunct w:val="0"/>
              <w:bidi w:val="0"/>
              <w:spacing w:before="187" w:line="331" w:lineRule="auto"/>
              <w:ind w:left="113" w:right="108" w:firstLine="0"/>
              <w:jc w:val="center"/>
              <w:rPr>
                <w:rFonts w:hint="eastAsia" w:ascii="仿宋_GB2312" w:eastAsia="仿宋_GB2312" w:hAnsiTheme="minorHAnsi" w:cstheme="minorBidi"/>
                <w:snapToGrid/>
                <w:color w:val="auto"/>
                <w:spacing w:val="-4"/>
                <w:kern w:val="2"/>
                <w:sz w:val="32"/>
                <w:szCs w:val="32"/>
                <w:lang w:eastAsia="zh-CN"/>
              </w:rPr>
            </w:pPr>
          </w:p>
        </w:tc>
      </w:tr>
      <w:tr w14:paraId="0A1DE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1" w:hRule="atLeast"/>
        </w:trPr>
        <w:tc>
          <w:tcPr>
            <w:tcW w:w="1984" w:type="dxa"/>
            <w:vMerge w:val="continue"/>
            <w:vAlign w:val="center"/>
          </w:tcPr>
          <w:p w14:paraId="3091EAFB">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vAlign w:val="center"/>
          </w:tcPr>
          <w:p w14:paraId="68F06863">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1C426268">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0AFFBFA8">
            <w:pPr>
              <w:pStyle w:val="10"/>
              <w:keepNext w:val="0"/>
              <w:keepLines w:val="0"/>
              <w:pageBreakBefore w:val="0"/>
              <w:wordWrap/>
              <w:overflowPunct/>
              <w:topLinePunct w:val="0"/>
              <w:bidi w:val="0"/>
              <w:spacing w:before="100"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10683DF7">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2C249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984" w:type="dxa"/>
            <w:vMerge w:val="continue"/>
            <w:vAlign w:val="center"/>
          </w:tcPr>
          <w:p w14:paraId="392BEC09">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restart"/>
            <w:tcBorders>
              <w:bottom w:val="nil"/>
            </w:tcBorders>
            <w:vAlign w:val="center"/>
          </w:tcPr>
          <w:p w14:paraId="2E5E9E7D">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广东省本科高校大学生十大学科竞赛名录中的赛事</w:t>
            </w:r>
          </w:p>
        </w:tc>
        <w:tc>
          <w:tcPr>
            <w:tcW w:w="1286" w:type="dxa"/>
            <w:vAlign w:val="center"/>
          </w:tcPr>
          <w:p w14:paraId="4A081EA6">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0F7B990D">
            <w:pPr>
              <w:pStyle w:val="10"/>
              <w:keepNext w:val="0"/>
              <w:keepLines w:val="0"/>
              <w:pageBreakBefore w:val="0"/>
              <w:wordWrap/>
              <w:overflowPunct/>
              <w:topLinePunct w:val="0"/>
              <w:bidi w:val="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13AB428B">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0116A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984" w:type="dxa"/>
            <w:vMerge w:val="continue"/>
            <w:vAlign w:val="center"/>
          </w:tcPr>
          <w:p w14:paraId="12FC3834">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bottom w:val="nil"/>
            </w:tcBorders>
            <w:vAlign w:val="center"/>
          </w:tcPr>
          <w:p w14:paraId="7104EF77">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392AD420">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3D0761F2">
            <w:pPr>
              <w:pStyle w:val="10"/>
              <w:keepNext w:val="0"/>
              <w:keepLines w:val="0"/>
              <w:pageBreakBefore w:val="0"/>
              <w:wordWrap/>
              <w:overflowPunct/>
              <w:topLinePunct w:val="0"/>
              <w:bidi w:val="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1.5</w:t>
            </w:r>
          </w:p>
        </w:tc>
        <w:tc>
          <w:tcPr>
            <w:tcW w:w="3402" w:type="dxa"/>
            <w:vMerge w:val="continue"/>
          </w:tcPr>
          <w:p w14:paraId="5F454FE3">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02D0E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6" w:hRule="atLeast"/>
        </w:trPr>
        <w:tc>
          <w:tcPr>
            <w:tcW w:w="1984" w:type="dxa"/>
            <w:vMerge w:val="continue"/>
            <w:vAlign w:val="center"/>
          </w:tcPr>
          <w:p w14:paraId="5C665143">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tcBorders>
            <w:vAlign w:val="center"/>
          </w:tcPr>
          <w:p w14:paraId="5C485BF8">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62D07798">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778657E8">
            <w:pPr>
              <w:pStyle w:val="10"/>
              <w:keepNext w:val="0"/>
              <w:keepLines w:val="0"/>
              <w:pageBreakBefore w:val="0"/>
              <w:wordWrap/>
              <w:overflowPunct/>
              <w:topLinePunct w:val="0"/>
              <w:bidi w:val="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c>
          <w:tcPr>
            <w:tcW w:w="3402" w:type="dxa"/>
            <w:vMerge w:val="continue"/>
          </w:tcPr>
          <w:p w14:paraId="77E76314">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6BE7E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984" w:type="dxa"/>
            <w:vMerge w:val="restart"/>
            <w:vAlign w:val="center"/>
          </w:tcPr>
          <w:p w14:paraId="259048F5">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文化艺术竞赛</w:t>
            </w:r>
          </w:p>
        </w:tc>
        <w:tc>
          <w:tcPr>
            <w:tcW w:w="2268" w:type="dxa"/>
            <w:vMerge w:val="restart"/>
            <w:tcBorders>
              <w:bottom w:val="nil"/>
            </w:tcBorders>
            <w:vAlign w:val="center"/>
          </w:tcPr>
          <w:p w14:paraId="060C5AD2">
            <w:pPr>
              <w:pStyle w:val="10"/>
              <w:keepNext w:val="0"/>
              <w:keepLines w:val="0"/>
              <w:pageBreakBefore w:val="0"/>
              <w:wordWrap/>
              <w:overflowPunct/>
              <w:topLinePunct w:val="0"/>
              <w:bidi w:val="0"/>
              <w:spacing w:before="100" w:line="327" w:lineRule="auto"/>
              <w:ind w:right="187"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中央和国家机关各部门及其直属机构主办的常设性文化艺术竞赛活动</w:t>
            </w:r>
          </w:p>
        </w:tc>
        <w:tc>
          <w:tcPr>
            <w:tcW w:w="1286" w:type="dxa"/>
            <w:vAlign w:val="center"/>
          </w:tcPr>
          <w:p w14:paraId="087C3478">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33290006">
            <w:pPr>
              <w:pStyle w:val="10"/>
              <w:keepNext w:val="0"/>
              <w:keepLines w:val="0"/>
              <w:pageBreakBefore w:val="0"/>
              <w:wordWrap/>
              <w:overflowPunct/>
              <w:topLinePunct w:val="0"/>
              <w:bidi w:val="0"/>
              <w:spacing w:before="101" w:line="185"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3</w:t>
            </w:r>
          </w:p>
        </w:tc>
        <w:tc>
          <w:tcPr>
            <w:tcW w:w="3402" w:type="dxa"/>
            <w:vMerge w:val="restart"/>
            <w:vAlign w:val="center"/>
          </w:tcPr>
          <w:p w14:paraId="00FFAEF7">
            <w:pPr>
              <w:pStyle w:val="10"/>
              <w:keepNext w:val="0"/>
              <w:keepLines w:val="0"/>
              <w:pageBreakBefore w:val="0"/>
              <w:wordWrap/>
              <w:overflowPunct/>
              <w:topLinePunct w:val="0"/>
              <w:bidi w:val="0"/>
              <w:spacing w:before="101" w:line="323" w:lineRule="auto"/>
              <w:ind w:left="118"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特等奖（金奖）按一等奖标准执行，依此类推，依次退一级执行；仅设名次的各类竞赛奖励标准：第1名按一等奖标准执行，2至3名按二等奖标准执行，4至6名按三等奖标准执行；仅设奖项名称的各类竞赛奖励标准：第一排序奖项按一等奖标准执行，第二排序奖项按二等奖标准执行，第三排序奖项按三等奖标准执行。2.在最高级别为国家级的同一赛事中仅获得省级奖项，则按国家级对应奖项加分标准*0.5。3.学生本人必须为参加获奖赛事场次比赛人员。</w:t>
            </w:r>
          </w:p>
        </w:tc>
      </w:tr>
      <w:tr w14:paraId="27315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984" w:type="dxa"/>
            <w:vMerge w:val="continue"/>
            <w:vAlign w:val="center"/>
          </w:tcPr>
          <w:p w14:paraId="3A16CC5A">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bottom w:val="nil"/>
            </w:tcBorders>
            <w:vAlign w:val="center"/>
          </w:tcPr>
          <w:p w14:paraId="17AA6FFD">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12D46077">
            <w:pPr>
              <w:pStyle w:val="10"/>
              <w:keepNext w:val="0"/>
              <w:keepLines w:val="0"/>
              <w:pageBreakBefore w:val="0"/>
              <w:wordWrap/>
              <w:overflowPunct/>
              <w:topLinePunct w:val="0"/>
              <w:bidi w:val="0"/>
              <w:spacing w:before="100"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434B96EA">
            <w:pPr>
              <w:pStyle w:val="10"/>
              <w:keepNext w:val="0"/>
              <w:keepLines w:val="0"/>
              <w:pageBreakBefore w:val="0"/>
              <w:wordWrap/>
              <w:overflowPunct/>
              <w:topLinePunct w:val="0"/>
              <w:bidi w:val="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2.5</w:t>
            </w:r>
          </w:p>
        </w:tc>
        <w:tc>
          <w:tcPr>
            <w:tcW w:w="3402" w:type="dxa"/>
            <w:vMerge w:val="continue"/>
          </w:tcPr>
          <w:p w14:paraId="45E96E17">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1F398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984" w:type="dxa"/>
            <w:vMerge w:val="continue"/>
            <w:vAlign w:val="center"/>
          </w:tcPr>
          <w:p w14:paraId="2AA8089A">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tcBorders>
            <w:vAlign w:val="center"/>
          </w:tcPr>
          <w:p w14:paraId="0B5EBE09">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513A06D3">
            <w:pPr>
              <w:pStyle w:val="10"/>
              <w:keepNext w:val="0"/>
              <w:keepLines w:val="0"/>
              <w:pageBreakBefore w:val="0"/>
              <w:wordWrap/>
              <w:overflowPunct/>
              <w:topLinePunct w:val="0"/>
              <w:bidi w:val="0"/>
              <w:spacing w:before="100"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17E941ED">
            <w:pPr>
              <w:pStyle w:val="10"/>
              <w:keepNext w:val="0"/>
              <w:keepLines w:val="0"/>
              <w:pageBreakBefore w:val="0"/>
              <w:wordWrap/>
              <w:overflowPunct/>
              <w:topLinePunct w:val="0"/>
              <w:bidi w:val="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6A92DD1D">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02108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1984" w:type="dxa"/>
            <w:vMerge w:val="continue"/>
            <w:vAlign w:val="center"/>
          </w:tcPr>
          <w:p w14:paraId="7E1622D3">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restart"/>
            <w:vAlign w:val="center"/>
          </w:tcPr>
          <w:p w14:paraId="4D3AE7ED">
            <w:pPr>
              <w:pStyle w:val="10"/>
              <w:keepNext w:val="0"/>
              <w:keepLines w:val="0"/>
              <w:pageBreakBefore w:val="0"/>
              <w:wordWrap/>
              <w:overflowPunct/>
              <w:topLinePunct w:val="0"/>
              <w:bidi w:val="0"/>
              <w:spacing w:before="101" w:line="324" w:lineRule="auto"/>
              <w:ind w:right="187"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中央和国家机关各部门及其直属机构的内设机构、广东省直机关及其直属机构主办的常设性文化艺术竞赛活动</w:t>
            </w:r>
          </w:p>
        </w:tc>
        <w:tc>
          <w:tcPr>
            <w:tcW w:w="1286" w:type="dxa"/>
            <w:vAlign w:val="center"/>
          </w:tcPr>
          <w:p w14:paraId="72798090">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0C3B04E0">
            <w:pPr>
              <w:pStyle w:val="10"/>
              <w:keepNext w:val="0"/>
              <w:keepLines w:val="0"/>
              <w:pageBreakBefore w:val="0"/>
              <w:wordWrap/>
              <w:overflowPunct/>
              <w:topLinePunct w:val="0"/>
              <w:bidi w:val="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4F36BD7F">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5772C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9" w:hRule="atLeast"/>
        </w:trPr>
        <w:tc>
          <w:tcPr>
            <w:tcW w:w="1984" w:type="dxa"/>
            <w:vMerge w:val="continue"/>
            <w:vAlign w:val="center"/>
          </w:tcPr>
          <w:p w14:paraId="2D15D28D">
            <w:pPr>
              <w:keepNext w:val="0"/>
              <w:keepLines w:val="0"/>
              <w:pageBreakBefore w:val="0"/>
              <w:wordWrap/>
              <w:overflowPunct/>
              <w:topLinePunct w:val="0"/>
              <w:bidi w:val="0"/>
              <w:ind w:firstLine="0"/>
              <w:jc w:val="center"/>
              <w:rPr>
                <w:rFonts w:hint="eastAsia" w:ascii="仿宋_GB2312" w:eastAsia="仿宋_GB2312"/>
                <w:spacing w:val="-4"/>
                <w:sz w:val="32"/>
                <w:szCs w:val="32"/>
                <w:lang w:eastAsia="zh-CN"/>
              </w:rPr>
            </w:pPr>
          </w:p>
        </w:tc>
        <w:tc>
          <w:tcPr>
            <w:tcW w:w="2268" w:type="dxa"/>
            <w:vMerge w:val="continue"/>
            <w:vAlign w:val="center"/>
          </w:tcPr>
          <w:p w14:paraId="54DABD91">
            <w:pPr>
              <w:pStyle w:val="10"/>
              <w:keepNext w:val="0"/>
              <w:keepLines w:val="0"/>
              <w:pageBreakBefore w:val="0"/>
              <w:wordWrap/>
              <w:overflowPunct/>
              <w:topLinePunct w:val="0"/>
              <w:bidi w:val="0"/>
              <w:spacing w:before="182" w:line="222" w:lineRule="auto"/>
              <w:ind w:firstLine="0"/>
              <w:jc w:val="center"/>
              <w:rPr>
                <w:rFonts w:hint="eastAsia" w:ascii="仿宋_GB2312" w:eastAsia="仿宋_GB2312" w:hAnsiTheme="minorHAnsi" w:cstheme="minorBidi"/>
                <w:snapToGrid/>
                <w:color w:val="auto"/>
                <w:spacing w:val="-4"/>
                <w:kern w:val="2"/>
                <w:sz w:val="32"/>
                <w:szCs w:val="32"/>
                <w:lang w:eastAsia="zh-CN"/>
              </w:rPr>
            </w:pPr>
          </w:p>
        </w:tc>
        <w:tc>
          <w:tcPr>
            <w:tcW w:w="1286" w:type="dxa"/>
            <w:vAlign w:val="center"/>
          </w:tcPr>
          <w:p w14:paraId="59DC9DD0">
            <w:pPr>
              <w:pStyle w:val="10"/>
              <w:keepNext w:val="0"/>
              <w:keepLines w:val="0"/>
              <w:pageBreakBefore w:val="0"/>
              <w:wordWrap/>
              <w:overflowPunct/>
              <w:topLinePunct w:val="0"/>
              <w:bidi w:val="0"/>
              <w:spacing w:before="100"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3E57B1B2">
            <w:pPr>
              <w:pStyle w:val="10"/>
              <w:keepNext w:val="0"/>
              <w:keepLines w:val="0"/>
              <w:pageBreakBefore w:val="0"/>
              <w:wordWrap/>
              <w:overflowPunct/>
              <w:topLinePunct w:val="0"/>
              <w:bidi w:val="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1.5</w:t>
            </w:r>
          </w:p>
        </w:tc>
        <w:tc>
          <w:tcPr>
            <w:tcW w:w="3402" w:type="dxa"/>
            <w:vMerge w:val="continue"/>
            <w:vAlign w:val="center"/>
          </w:tcPr>
          <w:p w14:paraId="3F23B20F">
            <w:pPr>
              <w:pStyle w:val="10"/>
              <w:keepNext w:val="0"/>
              <w:keepLines w:val="0"/>
              <w:pageBreakBefore w:val="0"/>
              <w:wordWrap/>
              <w:overflowPunct/>
              <w:topLinePunct w:val="0"/>
              <w:bidi w:val="0"/>
              <w:spacing w:before="177" w:line="329" w:lineRule="auto"/>
              <w:ind w:left="133" w:right="224" w:firstLine="0"/>
              <w:jc w:val="both"/>
              <w:rPr>
                <w:rFonts w:hint="eastAsia" w:ascii="仿宋_GB2312" w:eastAsia="仿宋_GB2312" w:hAnsiTheme="minorHAnsi" w:cstheme="minorBidi"/>
                <w:snapToGrid/>
                <w:color w:val="auto"/>
                <w:spacing w:val="-4"/>
                <w:kern w:val="2"/>
                <w:sz w:val="32"/>
                <w:szCs w:val="32"/>
                <w:lang w:eastAsia="zh-CN"/>
              </w:rPr>
            </w:pPr>
          </w:p>
        </w:tc>
      </w:tr>
      <w:tr w14:paraId="05BD2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3" w:hRule="atLeast"/>
        </w:trPr>
        <w:tc>
          <w:tcPr>
            <w:tcW w:w="1984" w:type="dxa"/>
            <w:vMerge w:val="continue"/>
            <w:vAlign w:val="center"/>
          </w:tcPr>
          <w:p w14:paraId="6A3BEE39">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vAlign w:val="center"/>
          </w:tcPr>
          <w:p w14:paraId="182EF154">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14AD4F4C">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0DA52E36">
            <w:pPr>
              <w:pStyle w:val="10"/>
              <w:keepNext w:val="0"/>
              <w:keepLines w:val="0"/>
              <w:pageBreakBefore w:val="0"/>
              <w:wordWrap/>
              <w:overflowPunct/>
              <w:topLinePunct w:val="0"/>
              <w:bidi w:val="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c>
          <w:tcPr>
            <w:tcW w:w="3402" w:type="dxa"/>
            <w:vMerge w:val="continue"/>
            <w:vAlign w:val="center"/>
          </w:tcPr>
          <w:p w14:paraId="14EA90AE">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21003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984" w:type="dxa"/>
            <w:vMerge w:val="restart"/>
            <w:vAlign w:val="center"/>
          </w:tcPr>
          <w:p w14:paraId="0744EA78">
            <w:pPr>
              <w:pStyle w:val="10"/>
              <w:keepNext w:val="0"/>
              <w:keepLines w:val="0"/>
              <w:pageBreakBefore w:val="0"/>
              <w:wordWrap/>
              <w:overflowPunct/>
              <w:topLinePunct w:val="0"/>
              <w:bidi w:val="0"/>
              <w:spacing w:before="100"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体育竞赛</w:t>
            </w:r>
          </w:p>
        </w:tc>
        <w:tc>
          <w:tcPr>
            <w:tcW w:w="2268" w:type="dxa"/>
            <w:vMerge w:val="restart"/>
            <w:tcBorders>
              <w:bottom w:val="nil"/>
            </w:tcBorders>
            <w:vAlign w:val="center"/>
          </w:tcPr>
          <w:p w14:paraId="015239FD">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T1级体育竞赛</w:t>
            </w:r>
          </w:p>
        </w:tc>
        <w:tc>
          <w:tcPr>
            <w:tcW w:w="1286" w:type="dxa"/>
            <w:vAlign w:val="center"/>
          </w:tcPr>
          <w:p w14:paraId="4A874E31">
            <w:pPr>
              <w:pStyle w:val="10"/>
              <w:keepNext w:val="0"/>
              <w:keepLines w:val="0"/>
              <w:pageBreakBefore w:val="0"/>
              <w:wordWrap/>
              <w:overflowPunct/>
              <w:topLinePunct w:val="0"/>
              <w:bidi w:val="0"/>
              <w:spacing w:before="227"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43CF78E1">
            <w:pPr>
              <w:pStyle w:val="10"/>
              <w:keepNext w:val="0"/>
              <w:keepLines w:val="0"/>
              <w:pageBreakBefore w:val="0"/>
              <w:wordWrap/>
              <w:overflowPunct/>
              <w:topLinePunct w:val="0"/>
              <w:bidi w:val="0"/>
              <w:spacing w:before="268" w:line="185"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3</w:t>
            </w:r>
          </w:p>
        </w:tc>
        <w:tc>
          <w:tcPr>
            <w:tcW w:w="3402" w:type="dxa"/>
            <w:vMerge w:val="restart"/>
            <w:vAlign w:val="center"/>
          </w:tcPr>
          <w:p w14:paraId="01B8D38B">
            <w:pPr>
              <w:pStyle w:val="10"/>
              <w:keepNext w:val="0"/>
              <w:keepLines w:val="0"/>
              <w:pageBreakBefore w:val="0"/>
              <w:wordWrap/>
              <w:overflowPunct/>
              <w:topLinePunct w:val="0"/>
              <w:bidi w:val="0"/>
              <w:spacing w:before="101" w:line="323" w:lineRule="auto"/>
              <w:ind w:left="118" w:firstLine="0"/>
              <w:jc w:val="both"/>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特等奖（金奖）按一等奖标准执行，依此类推，依次退一级执行。仅设名次的各类竞赛奖励标准：第1名按一等奖标准执行，2至3名按二等奖标准执行，4至8名按三等奖标准执行。竞赛组别有升降级之分的，较高组别按原标准加分，较低组别按原标准减半予以加分。2.广东省体育局主办的各类大学生体育比赛、广东省学生体育艺术联合会主办的各类大学生体育比赛按照B级标准减半予以加分。3.学生本人必须为参加获奖赛事场次比赛人员</w:t>
            </w:r>
            <w:r>
              <w:rPr>
                <w:rFonts w:hint="eastAsia" w:ascii="仿宋_GB2312" w:eastAsia="仿宋_GB2312" w:hAnsiTheme="minorHAnsi" w:cstheme="minorBidi"/>
                <w:snapToGrid/>
                <w:color w:val="auto"/>
                <w:spacing w:val="-4"/>
                <w:kern w:val="2"/>
                <w:sz w:val="32"/>
                <w:szCs w:val="32"/>
                <w:lang w:eastAsia="zh-CN"/>
              </w:rPr>
              <w:t>。</w:t>
            </w:r>
          </w:p>
        </w:tc>
      </w:tr>
      <w:tr w14:paraId="4D29F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984" w:type="dxa"/>
            <w:vMerge w:val="continue"/>
            <w:vAlign w:val="center"/>
          </w:tcPr>
          <w:p w14:paraId="1FA6A586">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bottom w:val="nil"/>
            </w:tcBorders>
            <w:vAlign w:val="center"/>
          </w:tcPr>
          <w:p w14:paraId="5728C6A4">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52596DEC">
            <w:pPr>
              <w:pStyle w:val="10"/>
              <w:keepNext w:val="0"/>
              <w:keepLines w:val="0"/>
              <w:pageBreakBefore w:val="0"/>
              <w:wordWrap/>
              <w:overflowPunct/>
              <w:topLinePunct w:val="0"/>
              <w:bidi w:val="0"/>
              <w:spacing w:before="227"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4BDAE999">
            <w:pPr>
              <w:pStyle w:val="10"/>
              <w:keepNext w:val="0"/>
              <w:keepLines w:val="0"/>
              <w:pageBreakBefore w:val="0"/>
              <w:wordWrap/>
              <w:overflowPunct/>
              <w:topLinePunct w:val="0"/>
              <w:bidi w:val="0"/>
              <w:spacing w:before="267"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2.5</w:t>
            </w:r>
          </w:p>
        </w:tc>
        <w:tc>
          <w:tcPr>
            <w:tcW w:w="3402" w:type="dxa"/>
            <w:vMerge w:val="continue"/>
          </w:tcPr>
          <w:p w14:paraId="28407DE2">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5BF2C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984" w:type="dxa"/>
            <w:vMerge w:val="continue"/>
            <w:vAlign w:val="center"/>
          </w:tcPr>
          <w:p w14:paraId="5F1FCA32">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tcBorders>
            <w:vAlign w:val="center"/>
          </w:tcPr>
          <w:p w14:paraId="619CB8F4">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54704BD8">
            <w:pPr>
              <w:pStyle w:val="10"/>
              <w:keepNext w:val="0"/>
              <w:keepLines w:val="0"/>
              <w:pageBreakBefore w:val="0"/>
              <w:wordWrap/>
              <w:overflowPunct/>
              <w:topLinePunct w:val="0"/>
              <w:bidi w:val="0"/>
              <w:spacing w:before="227"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731A8A30">
            <w:pPr>
              <w:pStyle w:val="10"/>
              <w:keepNext w:val="0"/>
              <w:keepLines w:val="0"/>
              <w:pageBreakBefore w:val="0"/>
              <w:wordWrap/>
              <w:overflowPunct/>
              <w:topLinePunct w:val="0"/>
              <w:bidi w:val="0"/>
              <w:spacing w:before="268"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5C3442C8">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2E031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984" w:type="dxa"/>
            <w:vMerge w:val="continue"/>
            <w:vAlign w:val="center"/>
          </w:tcPr>
          <w:p w14:paraId="0C28FAFC">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restart"/>
            <w:vAlign w:val="center"/>
          </w:tcPr>
          <w:p w14:paraId="4E6EE9F8">
            <w:pPr>
              <w:pStyle w:val="10"/>
              <w:keepNext w:val="0"/>
              <w:keepLines w:val="0"/>
              <w:pageBreakBefore w:val="0"/>
              <w:wordWrap/>
              <w:overflowPunct/>
              <w:topLinePunct w:val="0"/>
              <w:bidi w:val="0"/>
              <w:spacing w:before="100"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T2级体育竞赛</w:t>
            </w:r>
          </w:p>
        </w:tc>
        <w:tc>
          <w:tcPr>
            <w:tcW w:w="1286" w:type="dxa"/>
            <w:vAlign w:val="center"/>
          </w:tcPr>
          <w:p w14:paraId="1012B4A0">
            <w:pPr>
              <w:pStyle w:val="10"/>
              <w:keepNext w:val="0"/>
              <w:keepLines w:val="0"/>
              <w:pageBreakBefore w:val="0"/>
              <w:wordWrap/>
              <w:overflowPunct/>
              <w:topLinePunct w:val="0"/>
              <w:bidi w:val="0"/>
              <w:spacing w:before="227"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38A81652">
            <w:pPr>
              <w:pStyle w:val="10"/>
              <w:keepNext w:val="0"/>
              <w:keepLines w:val="0"/>
              <w:pageBreakBefore w:val="0"/>
              <w:wordWrap/>
              <w:overflowPunct/>
              <w:topLinePunct w:val="0"/>
              <w:bidi w:val="0"/>
              <w:spacing w:before="267"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2.5</w:t>
            </w:r>
          </w:p>
        </w:tc>
        <w:tc>
          <w:tcPr>
            <w:tcW w:w="3402" w:type="dxa"/>
            <w:vMerge w:val="continue"/>
          </w:tcPr>
          <w:p w14:paraId="236D2A79">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21FE5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1984" w:type="dxa"/>
            <w:vMerge w:val="continue"/>
            <w:vAlign w:val="center"/>
          </w:tcPr>
          <w:p w14:paraId="48EBA062">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vAlign w:val="center"/>
          </w:tcPr>
          <w:p w14:paraId="1274A3AD">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1FB7CFAF">
            <w:pPr>
              <w:pStyle w:val="10"/>
              <w:keepNext w:val="0"/>
              <w:keepLines w:val="0"/>
              <w:pageBreakBefore w:val="0"/>
              <w:wordWrap/>
              <w:overflowPunct/>
              <w:topLinePunct w:val="0"/>
              <w:bidi w:val="0"/>
              <w:spacing w:before="228"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69A72A03">
            <w:pPr>
              <w:pStyle w:val="10"/>
              <w:keepNext w:val="0"/>
              <w:keepLines w:val="0"/>
              <w:pageBreakBefore w:val="0"/>
              <w:wordWrap/>
              <w:overflowPunct/>
              <w:topLinePunct w:val="0"/>
              <w:bidi w:val="0"/>
              <w:spacing w:before="269"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4D03B332">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3BA25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1984" w:type="dxa"/>
            <w:vMerge w:val="continue"/>
            <w:vAlign w:val="center"/>
          </w:tcPr>
          <w:p w14:paraId="322EA83F">
            <w:pPr>
              <w:keepNext w:val="0"/>
              <w:keepLines w:val="0"/>
              <w:pageBreakBefore w:val="0"/>
              <w:wordWrap/>
              <w:overflowPunct/>
              <w:topLinePunct w:val="0"/>
              <w:bidi w:val="0"/>
              <w:ind w:firstLine="0"/>
              <w:jc w:val="center"/>
              <w:rPr>
                <w:rFonts w:hint="eastAsia" w:ascii="仿宋_GB2312" w:eastAsia="仿宋_GB2312"/>
                <w:spacing w:val="-4"/>
                <w:sz w:val="32"/>
                <w:szCs w:val="32"/>
                <w:lang w:eastAsia="zh-CN"/>
              </w:rPr>
            </w:pPr>
          </w:p>
        </w:tc>
        <w:tc>
          <w:tcPr>
            <w:tcW w:w="2268" w:type="dxa"/>
            <w:vMerge w:val="continue"/>
            <w:vAlign w:val="center"/>
          </w:tcPr>
          <w:p w14:paraId="42F947B6">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7040EE40">
            <w:pPr>
              <w:pStyle w:val="10"/>
              <w:keepNext w:val="0"/>
              <w:keepLines w:val="0"/>
              <w:pageBreakBefore w:val="0"/>
              <w:wordWrap/>
              <w:overflowPunct/>
              <w:topLinePunct w:val="0"/>
              <w:bidi w:val="0"/>
              <w:spacing w:before="227"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060104FD">
            <w:pPr>
              <w:pStyle w:val="10"/>
              <w:keepNext w:val="0"/>
              <w:keepLines w:val="0"/>
              <w:pageBreakBefore w:val="0"/>
              <w:wordWrap/>
              <w:overflowPunct/>
              <w:topLinePunct w:val="0"/>
              <w:bidi w:val="0"/>
              <w:spacing w:before="268"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1.5</w:t>
            </w:r>
          </w:p>
        </w:tc>
        <w:tc>
          <w:tcPr>
            <w:tcW w:w="3402" w:type="dxa"/>
            <w:vMerge w:val="continue"/>
            <w:vAlign w:val="center"/>
          </w:tcPr>
          <w:p w14:paraId="3FBC735C">
            <w:pPr>
              <w:pStyle w:val="10"/>
              <w:keepNext w:val="0"/>
              <w:keepLines w:val="0"/>
              <w:pageBreakBefore w:val="0"/>
              <w:wordWrap/>
              <w:overflowPunct/>
              <w:topLinePunct w:val="0"/>
              <w:bidi w:val="0"/>
              <w:spacing w:before="177" w:line="330" w:lineRule="auto"/>
              <w:ind w:right="108"/>
              <w:jc w:val="both"/>
              <w:rPr>
                <w:rFonts w:hint="eastAsia" w:ascii="仿宋_GB2312" w:eastAsia="仿宋_GB2312" w:hAnsiTheme="minorHAnsi" w:cstheme="minorBidi"/>
                <w:snapToGrid/>
                <w:color w:val="auto"/>
                <w:spacing w:val="-4"/>
                <w:kern w:val="2"/>
                <w:sz w:val="32"/>
                <w:szCs w:val="32"/>
                <w:lang w:eastAsia="zh-CN"/>
              </w:rPr>
            </w:pPr>
          </w:p>
        </w:tc>
      </w:tr>
      <w:tr w14:paraId="5595D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984" w:type="dxa"/>
            <w:vMerge w:val="continue"/>
          </w:tcPr>
          <w:p w14:paraId="5DF93EDC">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restart"/>
            <w:tcBorders>
              <w:bottom w:val="nil"/>
            </w:tcBorders>
            <w:vAlign w:val="center"/>
          </w:tcPr>
          <w:p w14:paraId="3FD526CC">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A级体育竞赛</w:t>
            </w:r>
          </w:p>
        </w:tc>
        <w:tc>
          <w:tcPr>
            <w:tcW w:w="1286" w:type="dxa"/>
            <w:vAlign w:val="center"/>
          </w:tcPr>
          <w:p w14:paraId="6F3E318E">
            <w:pPr>
              <w:pStyle w:val="10"/>
              <w:keepNext w:val="0"/>
              <w:keepLines w:val="0"/>
              <w:pageBreakBefore w:val="0"/>
              <w:wordWrap/>
              <w:overflowPunct/>
              <w:topLinePunct w:val="0"/>
              <w:bidi w:val="0"/>
              <w:spacing w:before="223"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3FFFFF6F">
            <w:pPr>
              <w:pStyle w:val="10"/>
              <w:keepNext w:val="0"/>
              <w:keepLines w:val="0"/>
              <w:pageBreakBefore w:val="0"/>
              <w:wordWrap/>
              <w:overflowPunct/>
              <w:topLinePunct w:val="0"/>
              <w:bidi w:val="0"/>
              <w:spacing w:before="264"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c>
          <w:tcPr>
            <w:tcW w:w="3402" w:type="dxa"/>
            <w:vMerge w:val="continue"/>
          </w:tcPr>
          <w:p w14:paraId="5AF72010">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54D63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984" w:type="dxa"/>
            <w:vMerge w:val="continue"/>
          </w:tcPr>
          <w:p w14:paraId="7180FD89">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bottom w:val="nil"/>
            </w:tcBorders>
            <w:vAlign w:val="center"/>
          </w:tcPr>
          <w:p w14:paraId="7C8B69DA">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0B68BE6B">
            <w:pPr>
              <w:pStyle w:val="10"/>
              <w:keepNext w:val="0"/>
              <w:keepLines w:val="0"/>
              <w:pageBreakBefore w:val="0"/>
              <w:wordWrap/>
              <w:overflowPunct/>
              <w:topLinePunct w:val="0"/>
              <w:bidi w:val="0"/>
              <w:spacing w:before="225"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4C5DC9D7">
            <w:pPr>
              <w:pStyle w:val="10"/>
              <w:keepNext w:val="0"/>
              <w:keepLines w:val="0"/>
              <w:pageBreakBefore w:val="0"/>
              <w:wordWrap/>
              <w:overflowPunct/>
              <w:topLinePunct w:val="0"/>
              <w:bidi w:val="0"/>
              <w:spacing w:before="266"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1.5</w:t>
            </w:r>
          </w:p>
        </w:tc>
        <w:tc>
          <w:tcPr>
            <w:tcW w:w="3402" w:type="dxa"/>
            <w:vMerge w:val="continue"/>
          </w:tcPr>
          <w:p w14:paraId="45151512">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6D37D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984" w:type="dxa"/>
            <w:vMerge w:val="continue"/>
          </w:tcPr>
          <w:p w14:paraId="3901E39E">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tcBorders>
            <w:vAlign w:val="center"/>
          </w:tcPr>
          <w:p w14:paraId="1885E943">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6452600B">
            <w:pPr>
              <w:pStyle w:val="10"/>
              <w:keepNext w:val="0"/>
              <w:keepLines w:val="0"/>
              <w:pageBreakBefore w:val="0"/>
              <w:wordWrap/>
              <w:overflowPunct/>
              <w:topLinePunct w:val="0"/>
              <w:bidi w:val="0"/>
              <w:spacing w:before="225"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473B6262">
            <w:pPr>
              <w:pStyle w:val="10"/>
              <w:keepNext w:val="0"/>
              <w:keepLines w:val="0"/>
              <w:pageBreakBefore w:val="0"/>
              <w:wordWrap/>
              <w:overflowPunct/>
              <w:topLinePunct w:val="0"/>
              <w:bidi w:val="0"/>
              <w:spacing w:before="266"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c>
          <w:tcPr>
            <w:tcW w:w="3402" w:type="dxa"/>
            <w:vMerge w:val="continue"/>
          </w:tcPr>
          <w:p w14:paraId="4C3A2204">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497BE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984" w:type="dxa"/>
            <w:vMerge w:val="continue"/>
          </w:tcPr>
          <w:p w14:paraId="12B9F1AD">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restart"/>
            <w:tcBorders>
              <w:bottom w:val="nil"/>
            </w:tcBorders>
            <w:vAlign w:val="center"/>
          </w:tcPr>
          <w:p w14:paraId="67339AE0">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B级体育竞赛</w:t>
            </w:r>
          </w:p>
        </w:tc>
        <w:tc>
          <w:tcPr>
            <w:tcW w:w="1286" w:type="dxa"/>
            <w:vAlign w:val="center"/>
          </w:tcPr>
          <w:p w14:paraId="41C97424">
            <w:pPr>
              <w:pStyle w:val="10"/>
              <w:keepNext w:val="0"/>
              <w:keepLines w:val="0"/>
              <w:pageBreakBefore w:val="0"/>
              <w:wordWrap/>
              <w:overflowPunct/>
              <w:topLinePunct w:val="0"/>
              <w:bidi w:val="0"/>
              <w:spacing w:before="224"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一等奖</w:t>
            </w:r>
          </w:p>
        </w:tc>
        <w:tc>
          <w:tcPr>
            <w:tcW w:w="1266" w:type="dxa"/>
            <w:vAlign w:val="center"/>
          </w:tcPr>
          <w:p w14:paraId="68797114">
            <w:pPr>
              <w:pStyle w:val="10"/>
              <w:keepNext w:val="0"/>
              <w:keepLines w:val="0"/>
              <w:pageBreakBefore w:val="0"/>
              <w:wordWrap/>
              <w:overflowPunct/>
              <w:topLinePunct w:val="0"/>
              <w:bidi w:val="0"/>
              <w:spacing w:before="265"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1.5</w:t>
            </w:r>
          </w:p>
        </w:tc>
        <w:tc>
          <w:tcPr>
            <w:tcW w:w="3402" w:type="dxa"/>
            <w:vMerge w:val="continue"/>
          </w:tcPr>
          <w:p w14:paraId="15F3EA9A">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66936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984" w:type="dxa"/>
            <w:vMerge w:val="continue"/>
          </w:tcPr>
          <w:p w14:paraId="30DBF884">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bottom w:val="nil"/>
            </w:tcBorders>
            <w:vAlign w:val="center"/>
          </w:tcPr>
          <w:p w14:paraId="01D99E4C">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149A81E2">
            <w:pPr>
              <w:pStyle w:val="10"/>
              <w:keepNext w:val="0"/>
              <w:keepLines w:val="0"/>
              <w:pageBreakBefore w:val="0"/>
              <w:wordWrap/>
              <w:overflowPunct/>
              <w:topLinePunct w:val="0"/>
              <w:bidi w:val="0"/>
              <w:spacing w:before="224"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二等奖</w:t>
            </w:r>
          </w:p>
        </w:tc>
        <w:tc>
          <w:tcPr>
            <w:tcW w:w="1266" w:type="dxa"/>
            <w:vAlign w:val="center"/>
          </w:tcPr>
          <w:p w14:paraId="06757E65">
            <w:pPr>
              <w:pStyle w:val="10"/>
              <w:keepNext w:val="0"/>
              <w:keepLines w:val="0"/>
              <w:pageBreakBefore w:val="0"/>
              <w:wordWrap/>
              <w:overflowPunct/>
              <w:topLinePunct w:val="0"/>
              <w:bidi w:val="0"/>
              <w:spacing w:before="265" w:line="183"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c>
          <w:tcPr>
            <w:tcW w:w="3402" w:type="dxa"/>
            <w:vMerge w:val="continue"/>
          </w:tcPr>
          <w:p w14:paraId="647E9127">
            <w:pPr>
              <w:keepNext w:val="0"/>
              <w:keepLines w:val="0"/>
              <w:pageBreakBefore w:val="0"/>
              <w:wordWrap/>
              <w:overflowPunct/>
              <w:topLinePunct w:val="0"/>
              <w:bidi w:val="0"/>
              <w:ind w:firstLine="0"/>
              <w:jc w:val="center"/>
              <w:rPr>
                <w:rFonts w:ascii="仿宋_GB2312" w:eastAsia="仿宋_GB2312"/>
                <w:spacing w:val="-4"/>
                <w:sz w:val="32"/>
                <w:szCs w:val="32"/>
              </w:rPr>
            </w:pPr>
          </w:p>
        </w:tc>
      </w:tr>
      <w:tr w14:paraId="254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984" w:type="dxa"/>
            <w:vMerge w:val="continue"/>
          </w:tcPr>
          <w:p w14:paraId="3F2F1BB5">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2268" w:type="dxa"/>
            <w:vMerge w:val="continue"/>
            <w:tcBorders>
              <w:top w:val="nil"/>
            </w:tcBorders>
            <w:vAlign w:val="center"/>
          </w:tcPr>
          <w:p w14:paraId="0D46D2A3">
            <w:pPr>
              <w:keepNext w:val="0"/>
              <w:keepLines w:val="0"/>
              <w:pageBreakBefore w:val="0"/>
              <w:wordWrap/>
              <w:overflowPunct/>
              <w:topLinePunct w:val="0"/>
              <w:bidi w:val="0"/>
              <w:ind w:firstLine="0"/>
              <w:jc w:val="center"/>
              <w:rPr>
                <w:rFonts w:ascii="仿宋_GB2312" w:eastAsia="仿宋_GB2312"/>
                <w:spacing w:val="-4"/>
                <w:sz w:val="32"/>
                <w:szCs w:val="32"/>
              </w:rPr>
            </w:pPr>
          </w:p>
        </w:tc>
        <w:tc>
          <w:tcPr>
            <w:tcW w:w="1286" w:type="dxa"/>
            <w:vAlign w:val="center"/>
          </w:tcPr>
          <w:p w14:paraId="34343B29">
            <w:pPr>
              <w:pStyle w:val="10"/>
              <w:keepNext w:val="0"/>
              <w:keepLines w:val="0"/>
              <w:pageBreakBefore w:val="0"/>
              <w:wordWrap/>
              <w:overflowPunct/>
              <w:topLinePunct w:val="0"/>
              <w:bidi w:val="0"/>
              <w:spacing w:before="101" w:line="222"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三等奖</w:t>
            </w:r>
          </w:p>
        </w:tc>
        <w:tc>
          <w:tcPr>
            <w:tcW w:w="1266" w:type="dxa"/>
            <w:vAlign w:val="center"/>
          </w:tcPr>
          <w:p w14:paraId="092F1B8E">
            <w:pPr>
              <w:pStyle w:val="10"/>
              <w:keepNext w:val="0"/>
              <w:keepLines w:val="0"/>
              <w:pageBreakBefore w:val="0"/>
              <w:wordWrap/>
              <w:overflowPunct/>
              <w:topLinePunct w:val="0"/>
              <w:bidi w:val="0"/>
              <w:spacing w:before="101" w:line="187" w:lineRule="auto"/>
              <w:ind w:firstLine="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0.5</w:t>
            </w:r>
          </w:p>
        </w:tc>
        <w:tc>
          <w:tcPr>
            <w:tcW w:w="3402" w:type="dxa"/>
            <w:vMerge w:val="continue"/>
          </w:tcPr>
          <w:p w14:paraId="6F40D586">
            <w:pPr>
              <w:keepNext w:val="0"/>
              <w:keepLines w:val="0"/>
              <w:pageBreakBefore w:val="0"/>
              <w:wordWrap/>
              <w:overflowPunct/>
              <w:topLinePunct w:val="0"/>
              <w:bidi w:val="0"/>
              <w:ind w:firstLine="0"/>
              <w:jc w:val="center"/>
              <w:rPr>
                <w:rFonts w:ascii="仿宋_GB2312" w:eastAsia="仿宋_GB2312"/>
                <w:spacing w:val="-4"/>
                <w:sz w:val="32"/>
                <w:szCs w:val="32"/>
              </w:rPr>
            </w:pPr>
          </w:p>
        </w:tc>
      </w:tr>
    </w:tbl>
    <w:p w14:paraId="641C7CCE">
      <w:pPr>
        <w:rPr>
          <w:rFonts w:hint="eastAsia" w:ascii="仿宋_GB2312" w:eastAsia="仿宋_GB2312"/>
          <w:spacing w:val="-4"/>
          <w:sz w:val="32"/>
          <w:szCs w:val="32"/>
        </w:rPr>
        <w:sectPr>
          <w:footerReference r:id="rId5" w:type="default"/>
          <w:pgSz w:w="11906" w:h="16839"/>
          <w:pgMar w:top="1431" w:right="770" w:bottom="1151" w:left="883" w:header="0" w:footer="987" w:gutter="0"/>
          <w:pgNumType w:fmt="numberInDash"/>
          <w:cols w:space="720" w:num="1"/>
        </w:sectPr>
      </w:pPr>
    </w:p>
    <w:p w14:paraId="49080B16">
      <w:pPr>
        <w:spacing w:line="316" w:lineRule="auto"/>
        <w:rPr>
          <w:rFonts w:hint="eastAsia" w:ascii="仿宋_GB2312" w:eastAsia="仿宋_GB2312"/>
          <w:spacing w:val="-4"/>
          <w:sz w:val="32"/>
          <w:szCs w:val="32"/>
        </w:rPr>
      </w:pPr>
    </w:p>
    <w:p w14:paraId="549E2B20">
      <w:pPr>
        <w:pStyle w:val="2"/>
        <w:spacing w:before="101" w:line="221" w:lineRule="auto"/>
        <w:ind w:left="1348"/>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（四）发展素养评价（5分）</w:t>
      </w:r>
    </w:p>
    <w:p w14:paraId="52E94630">
      <w:pPr>
        <w:pStyle w:val="2"/>
        <w:spacing w:before="189" w:line="281" w:lineRule="auto"/>
        <w:ind w:left="723" w:right="705" w:firstLine="633"/>
        <w:rPr>
          <w:rFonts w:hint="eastAsia" w:ascii="仿宋_GB2312" w:eastAsia="仿宋_GB2312" w:hAnsiTheme="minorHAnsi" w:cstheme="minorBidi"/>
          <w:spacing w:val="-4"/>
          <w:sz w:val="32"/>
          <w:szCs w:val="32"/>
          <w:lang w:eastAsia="zh-CN"/>
        </w:rPr>
      </w:pPr>
      <w:r>
        <w:rPr>
          <w:rFonts w:ascii="仿宋_GB2312" w:eastAsia="仿宋_GB2312" w:hAnsiTheme="minorHAnsi" w:cstheme="minorBidi"/>
          <w:spacing w:val="-4"/>
          <w:sz w:val="32"/>
          <w:szCs w:val="32"/>
          <w:lang w:eastAsia="zh-CN"/>
        </w:rPr>
        <w:t>本项不同类别可累计加分，同一类别只取最高分，总分不超过5分。</w:t>
      </w:r>
    </w:p>
    <w:tbl>
      <w:tblPr>
        <w:tblStyle w:val="9"/>
        <w:tblW w:w="8672" w:type="dxa"/>
        <w:tblInd w:w="86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92"/>
        <w:gridCol w:w="3753"/>
        <w:gridCol w:w="1927"/>
      </w:tblGrid>
      <w:tr w14:paraId="36246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2992" w:type="dxa"/>
            <w:vAlign w:val="center"/>
          </w:tcPr>
          <w:p w14:paraId="5A3677ED">
            <w:pPr>
              <w:pStyle w:val="10"/>
              <w:spacing w:before="214" w:line="223" w:lineRule="auto"/>
              <w:ind w:left="135"/>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类别</w:t>
            </w:r>
          </w:p>
        </w:tc>
        <w:tc>
          <w:tcPr>
            <w:tcW w:w="3753" w:type="dxa"/>
            <w:vAlign w:val="center"/>
          </w:tcPr>
          <w:p w14:paraId="76A3ACCA">
            <w:pPr>
              <w:pStyle w:val="10"/>
              <w:spacing w:before="214" w:line="222" w:lineRule="auto"/>
              <w:ind w:left="125"/>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具体内容</w:t>
            </w:r>
          </w:p>
        </w:tc>
        <w:tc>
          <w:tcPr>
            <w:tcW w:w="1927" w:type="dxa"/>
            <w:vAlign w:val="center"/>
          </w:tcPr>
          <w:p w14:paraId="0028BE98">
            <w:pPr>
              <w:pStyle w:val="10"/>
              <w:spacing w:before="213" w:line="224" w:lineRule="auto"/>
              <w:ind w:left="119"/>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加分</w:t>
            </w:r>
          </w:p>
        </w:tc>
      </w:tr>
      <w:tr w14:paraId="7B489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1" w:hRule="atLeast"/>
        </w:trPr>
        <w:tc>
          <w:tcPr>
            <w:tcW w:w="2992" w:type="dxa"/>
            <w:vAlign w:val="center"/>
          </w:tcPr>
          <w:p w14:paraId="2F3223B3">
            <w:pPr>
              <w:pStyle w:val="10"/>
              <w:spacing w:before="101" w:line="222" w:lineRule="auto"/>
              <w:ind w:left="125"/>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社会服务</w:t>
            </w:r>
          </w:p>
        </w:tc>
        <w:tc>
          <w:tcPr>
            <w:tcW w:w="3753" w:type="dxa"/>
            <w:vAlign w:val="center"/>
          </w:tcPr>
          <w:p w14:paraId="319044C6">
            <w:pPr>
              <w:pStyle w:val="10"/>
              <w:spacing w:before="177" w:line="279" w:lineRule="auto"/>
              <w:ind w:left="122" w:right="106"/>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获得地级市及以上级别政府颁发的表彰</w:t>
            </w:r>
          </w:p>
        </w:tc>
        <w:tc>
          <w:tcPr>
            <w:tcW w:w="1927" w:type="dxa"/>
            <w:vAlign w:val="center"/>
          </w:tcPr>
          <w:p w14:paraId="6E6A338D">
            <w:pPr>
              <w:pStyle w:val="1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1</w:t>
            </w:r>
          </w:p>
        </w:tc>
      </w:tr>
      <w:tr w14:paraId="79D6B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1" w:hRule="atLeast"/>
        </w:trPr>
        <w:tc>
          <w:tcPr>
            <w:tcW w:w="2992" w:type="dxa"/>
            <w:vMerge w:val="restart"/>
            <w:tcBorders>
              <w:bottom w:val="nil"/>
            </w:tcBorders>
            <w:vAlign w:val="center"/>
          </w:tcPr>
          <w:p w14:paraId="39C3479F">
            <w:pPr>
              <w:pStyle w:val="10"/>
              <w:spacing w:before="100" w:line="220" w:lineRule="auto"/>
              <w:ind w:left="138"/>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学生工作（1.任职需满一学年；2.部门负责人有正副职务区分的，正职按照原标准加分，副职按照原标准*0.75予以加分。）</w:t>
            </w:r>
          </w:p>
        </w:tc>
        <w:tc>
          <w:tcPr>
            <w:tcW w:w="3753" w:type="dxa"/>
            <w:vAlign w:val="center"/>
          </w:tcPr>
          <w:p w14:paraId="139F8484">
            <w:pPr>
              <w:pStyle w:val="10"/>
              <w:spacing w:before="177" w:line="279" w:lineRule="auto"/>
              <w:ind w:left="131" w:right="104" w:hanging="13"/>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校、院一级学生组织主要负责人</w:t>
            </w:r>
          </w:p>
        </w:tc>
        <w:tc>
          <w:tcPr>
            <w:tcW w:w="1927" w:type="dxa"/>
            <w:vAlign w:val="center"/>
          </w:tcPr>
          <w:p w14:paraId="74B5B467">
            <w:pPr>
              <w:pStyle w:val="1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0.5</w:t>
            </w:r>
          </w:p>
        </w:tc>
      </w:tr>
      <w:tr w14:paraId="12416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1" w:hRule="atLeast"/>
        </w:trPr>
        <w:tc>
          <w:tcPr>
            <w:tcW w:w="2992" w:type="dxa"/>
            <w:vMerge w:val="continue"/>
            <w:tcBorders>
              <w:top w:val="nil"/>
              <w:bottom w:val="nil"/>
            </w:tcBorders>
            <w:vAlign w:val="center"/>
          </w:tcPr>
          <w:p w14:paraId="3D317E2C">
            <w:pPr>
              <w:jc w:val="center"/>
              <w:rPr>
                <w:rFonts w:ascii="仿宋_GB2312" w:eastAsia="仿宋_GB2312"/>
                <w:spacing w:val="-4"/>
                <w:sz w:val="32"/>
                <w:szCs w:val="32"/>
              </w:rPr>
            </w:pPr>
          </w:p>
        </w:tc>
        <w:tc>
          <w:tcPr>
            <w:tcW w:w="3753" w:type="dxa"/>
            <w:vAlign w:val="center"/>
          </w:tcPr>
          <w:p w14:paraId="2EC221A5">
            <w:pPr>
              <w:pStyle w:val="10"/>
              <w:spacing w:before="180" w:line="278" w:lineRule="auto"/>
              <w:ind w:left="131" w:right="104" w:hanging="13"/>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校、院一级学生组织部门负责人</w:t>
            </w:r>
          </w:p>
        </w:tc>
        <w:tc>
          <w:tcPr>
            <w:tcW w:w="1927" w:type="dxa"/>
            <w:vAlign w:val="center"/>
          </w:tcPr>
          <w:p w14:paraId="338BB8E8">
            <w:pPr>
              <w:pStyle w:val="1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0.3</w:t>
            </w:r>
          </w:p>
        </w:tc>
      </w:tr>
      <w:tr w14:paraId="23DE1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4" w:hRule="atLeast"/>
        </w:trPr>
        <w:tc>
          <w:tcPr>
            <w:tcW w:w="2992" w:type="dxa"/>
            <w:vMerge w:val="continue"/>
            <w:tcBorders>
              <w:top w:val="nil"/>
              <w:bottom w:val="nil"/>
            </w:tcBorders>
            <w:vAlign w:val="center"/>
          </w:tcPr>
          <w:p w14:paraId="7340C1BC">
            <w:pPr>
              <w:jc w:val="center"/>
              <w:rPr>
                <w:rFonts w:ascii="仿宋_GB2312" w:eastAsia="仿宋_GB2312"/>
                <w:spacing w:val="-4"/>
                <w:sz w:val="32"/>
                <w:szCs w:val="32"/>
              </w:rPr>
            </w:pPr>
          </w:p>
        </w:tc>
        <w:tc>
          <w:tcPr>
            <w:tcW w:w="3753" w:type="dxa"/>
            <w:vAlign w:val="center"/>
          </w:tcPr>
          <w:p w14:paraId="16553B0A">
            <w:pPr>
              <w:pStyle w:val="10"/>
              <w:spacing w:before="177" w:line="297" w:lineRule="auto"/>
              <w:ind w:left="123" w:right="106" w:firstLine="24"/>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团支部书记、班长、助理班主任、教官团正式学员、辅导员助理</w:t>
            </w:r>
          </w:p>
        </w:tc>
        <w:tc>
          <w:tcPr>
            <w:tcW w:w="1927" w:type="dxa"/>
            <w:vAlign w:val="center"/>
          </w:tcPr>
          <w:p w14:paraId="5BC807BF">
            <w:pPr>
              <w:pStyle w:val="1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0.2</w:t>
            </w:r>
          </w:p>
        </w:tc>
      </w:tr>
      <w:tr w14:paraId="29EBD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5" w:hRule="atLeast"/>
        </w:trPr>
        <w:tc>
          <w:tcPr>
            <w:tcW w:w="2992" w:type="dxa"/>
            <w:vMerge w:val="continue"/>
            <w:tcBorders>
              <w:top w:val="nil"/>
            </w:tcBorders>
            <w:vAlign w:val="center"/>
          </w:tcPr>
          <w:p w14:paraId="19743E4D">
            <w:pPr>
              <w:jc w:val="center"/>
              <w:rPr>
                <w:rFonts w:ascii="仿宋_GB2312" w:eastAsia="仿宋_GB2312"/>
                <w:spacing w:val="-4"/>
                <w:sz w:val="32"/>
                <w:szCs w:val="32"/>
              </w:rPr>
            </w:pPr>
          </w:p>
        </w:tc>
        <w:tc>
          <w:tcPr>
            <w:tcW w:w="3753" w:type="dxa"/>
            <w:vAlign w:val="center"/>
          </w:tcPr>
          <w:p w14:paraId="1B86DDC0">
            <w:pPr>
              <w:pStyle w:val="10"/>
              <w:spacing w:before="180" w:line="279" w:lineRule="auto"/>
              <w:ind w:left="134" w:right="106" w:hanging="11"/>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班级其他委员、校内各级学生组织干事</w:t>
            </w:r>
          </w:p>
        </w:tc>
        <w:tc>
          <w:tcPr>
            <w:tcW w:w="1927" w:type="dxa"/>
            <w:vAlign w:val="center"/>
          </w:tcPr>
          <w:p w14:paraId="354818CA">
            <w:pPr>
              <w:pStyle w:val="1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0.1</w:t>
            </w:r>
          </w:p>
        </w:tc>
      </w:tr>
    </w:tbl>
    <w:p w14:paraId="58646F1A">
      <w:pPr>
        <w:rPr>
          <w:rFonts w:hint="eastAsia" w:ascii="仿宋_GB2312" w:eastAsia="仿宋_GB2312"/>
          <w:spacing w:val="-4"/>
          <w:sz w:val="32"/>
          <w:szCs w:val="32"/>
        </w:rPr>
        <w:sectPr>
          <w:footerReference r:id="rId6" w:type="default"/>
          <w:pgSz w:w="11906" w:h="16839"/>
          <w:pgMar w:top="1431" w:right="770" w:bottom="1152" w:left="883" w:header="0" w:footer="987" w:gutter="0"/>
          <w:pgNumType w:fmt="numberInDash"/>
          <w:cols w:space="720" w:num="1"/>
        </w:sectPr>
      </w:pPr>
    </w:p>
    <w:tbl>
      <w:tblPr>
        <w:tblStyle w:val="9"/>
        <w:tblW w:w="8526" w:type="dxa"/>
        <w:tblInd w:w="1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1"/>
        <w:gridCol w:w="3690"/>
        <w:gridCol w:w="1895"/>
      </w:tblGrid>
      <w:tr w14:paraId="2D03A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3" w:hRule="atLeast"/>
        </w:trPr>
        <w:tc>
          <w:tcPr>
            <w:tcW w:w="2941" w:type="dxa"/>
            <w:vAlign w:val="center"/>
          </w:tcPr>
          <w:p w14:paraId="131EA72A">
            <w:pPr>
              <w:pStyle w:val="10"/>
              <w:spacing w:before="100" w:line="222" w:lineRule="auto"/>
              <w:ind w:left="140"/>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志愿服务</w:t>
            </w:r>
          </w:p>
        </w:tc>
        <w:tc>
          <w:tcPr>
            <w:tcW w:w="3690" w:type="dxa"/>
            <w:vAlign w:val="center"/>
          </w:tcPr>
          <w:p w14:paraId="003661F0">
            <w:pPr>
              <w:pStyle w:val="10"/>
              <w:spacing w:before="101" w:line="326" w:lineRule="auto"/>
              <w:ind w:left="108" w:right="104" w:firstLine="11"/>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年均志愿服务时长≥40h（统计时间为入学当年9月1日至正常学制第三学年8月31日）</w:t>
            </w:r>
          </w:p>
        </w:tc>
        <w:tc>
          <w:tcPr>
            <w:tcW w:w="1895" w:type="dxa"/>
            <w:vAlign w:val="center"/>
          </w:tcPr>
          <w:p w14:paraId="7BD4C7D8">
            <w:pPr>
              <w:pStyle w:val="10"/>
              <w:spacing w:before="100"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0.5</w:t>
            </w:r>
          </w:p>
        </w:tc>
      </w:tr>
      <w:tr w14:paraId="3E4A2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2941" w:type="dxa"/>
            <w:vAlign w:val="center"/>
          </w:tcPr>
          <w:p w14:paraId="0C606751">
            <w:pPr>
              <w:pStyle w:val="10"/>
              <w:spacing w:before="101" w:line="222"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参军入伍</w:t>
            </w:r>
          </w:p>
        </w:tc>
        <w:tc>
          <w:tcPr>
            <w:tcW w:w="3690" w:type="dxa"/>
            <w:vAlign w:val="center"/>
          </w:tcPr>
          <w:p w14:paraId="696842A6">
            <w:pPr>
              <w:pStyle w:val="10"/>
              <w:spacing w:before="177" w:line="279" w:lineRule="auto"/>
              <w:ind w:left="116" w:right="106" w:firstLine="6"/>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参军入伍完成服役并退役复学</w:t>
            </w:r>
          </w:p>
        </w:tc>
        <w:tc>
          <w:tcPr>
            <w:tcW w:w="1895" w:type="dxa"/>
            <w:vAlign w:val="center"/>
          </w:tcPr>
          <w:p w14:paraId="102A3544">
            <w:pPr>
              <w:pStyle w:val="10"/>
              <w:spacing w:before="101" w:line="183"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2</w:t>
            </w:r>
          </w:p>
        </w:tc>
      </w:tr>
      <w:tr w14:paraId="5CCFD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2941" w:type="dxa"/>
            <w:vAlign w:val="center"/>
          </w:tcPr>
          <w:p w14:paraId="3EBD5928">
            <w:pPr>
              <w:pStyle w:val="10"/>
              <w:spacing w:before="177" w:line="279" w:lineRule="auto"/>
              <w:ind w:left="120" w:right="12"/>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参加国际组织实习、赴境外学习交流</w:t>
            </w:r>
          </w:p>
        </w:tc>
        <w:tc>
          <w:tcPr>
            <w:tcW w:w="3690" w:type="dxa"/>
            <w:vAlign w:val="center"/>
          </w:tcPr>
          <w:p w14:paraId="32605BCE">
            <w:pPr>
              <w:pStyle w:val="10"/>
              <w:spacing w:before="178" w:line="222" w:lineRule="auto"/>
              <w:ind w:left="124"/>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须为学校相关部门、学院推荐或组织的项目</w:t>
            </w:r>
          </w:p>
        </w:tc>
        <w:tc>
          <w:tcPr>
            <w:tcW w:w="1895" w:type="dxa"/>
            <w:vAlign w:val="center"/>
          </w:tcPr>
          <w:p w14:paraId="0A82F3CE">
            <w:pPr>
              <w:pStyle w:val="10"/>
              <w:spacing w:before="101" w:line="187" w:lineRule="auto"/>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0.5</w:t>
            </w:r>
          </w:p>
        </w:tc>
      </w:tr>
      <w:tr w14:paraId="7A794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8" w:hRule="atLeast"/>
        </w:trPr>
        <w:tc>
          <w:tcPr>
            <w:tcW w:w="2941" w:type="dxa"/>
            <w:vAlign w:val="center"/>
          </w:tcPr>
          <w:p w14:paraId="7DB825D4">
            <w:pPr>
              <w:pStyle w:val="10"/>
              <w:spacing w:before="177" w:line="279" w:lineRule="auto"/>
              <w:ind w:left="120" w:right="12"/>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外语水平</w:t>
            </w:r>
          </w:p>
        </w:tc>
        <w:tc>
          <w:tcPr>
            <w:tcW w:w="3690" w:type="dxa"/>
            <w:vAlign w:val="center"/>
          </w:tcPr>
          <w:p w14:paraId="797E8EF6">
            <w:pPr>
              <w:pStyle w:val="10"/>
              <w:spacing w:before="177" w:line="279" w:lineRule="auto"/>
              <w:ind w:left="120" w:right="12"/>
              <w:jc w:val="center"/>
              <w:rPr>
                <w:rFonts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CET-6≥425分</w:t>
            </w:r>
          </w:p>
          <w:p w14:paraId="5A5F5D46">
            <w:pPr>
              <w:pStyle w:val="10"/>
              <w:spacing w:before="177" w:line="279" w:lineRule="auto"/>
              <w:ind w:left="120" w:right="12"/>
              <w:jc w:val="center"/>
              <w:rPr>
                <w:rFonts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或TOEFL≥80分</w:t>
            </w:r>
          </w:p>
          <w:p w14:paraId="0657CF35">
            <w:pPr>
              <w:pStyle w:val="10"/>
              <w:spacing w:before="177" w:line="279" w:lineRule="auto"/>
              <w:ind w:left="120" w:right="12"/>
              <w:jc w:val="center"/>
              <w:rPr>
                <w:rFonts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或雅思≥5.5分</w:t>
            </w:r>
          </w:p>
          <w:p w14:paraId="1C90444F">
            <w:pPr>
              <w:pStyle w:val="10"/>
              <w:spacing w:before="177" w:line="279" w:lineRule="auto"/>
              <w:ind w:left="120" w:right="12"/>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或GRE≥280分</w:t>
            </w:r>
          </w:p>
        </w:tc>
        <w:tc>
          <w:tcPr>
            <w:tcW w:w="1895" w:type="dxa"/>
            <w:vAlign w:val="center"/>
          </w:tcPr>
          <w:p w14:paraId="7C4B93FD">
            <w:pPr>
              <w:pStyle w:val="10"/>
              <w:spacing w:before="177" w:line="279" w:lineRule="auto"/>
              <w:ind w:left="120" w:right="12"/>
              <w:jc w:val="center"/>
              <w:rPr>
                <w:rFonts w:hint="eastAsia" w:ascii="仿宋_GB2312" w:eastAsia="仿宋_GB2312" w:hAnsiTheme="minorHAnsi" w:cstheme="minorBidi"/>
                <w:snapToGrid/>
                <w:color w:val="auto"/>
                <w:spacing w:val="-4"/>
                <w:kern w:val="2"/>
                <w:sz w:val="32"/>
                <w:szCs w:val="32"/>
                <w:lang w:eastAsia="zh-CN"/>
              </w:rPr>
            </w:pPr>
            <w:r>
              <w:rPr>
                <w:rFonts w:ascii="仿宋_GB2312" w:eastAsia="仿宋_GB2312" w:hAnsiTheme="minorHAnsi" w:cstheme="minorBidi"/>
                <w:snapToGrid/>
                <w:color w:val="auto"/>
                <w:spacing w:val="-4"/>
                <w:kern w:val="2"/>
                <w:sz w:val="32"/>
                <w:szCs w:val="32"/>
                <w:lang w:eastAsia="zh-CN"/>
              </w:rPr>
              <w:t>0.5</w:t>
            </w:r>
          </w:p>
        </w:tc>
      </w:tr>
    </w:tbl>
    <w:p w14:paraId="29466C5B">
      <w:pPr>
        <w:widowControl/>
        <w:ind w:firstLine="643" w:firstLineChars="200"/>
        <w:jc w:val="left"/>
        <w:rPr>
          <w:rFonts w:hint="eastAsia" w:ascii="仿宋" w:hAnsi="仿宋" w:eastAsia="仿宋" w:cs="仿宋"/>
          <w:b/>
          <w:bCs/>
          <w:color w:val="000000"/>
          <w:kern w:val="0"/>
          <w:sz w:val="32"/>
          <w:szCs w:val="32"/>
          <w:lang w:bidi="ar"/>
        </w:rPr>
      </w:pPr>
    </w:p>
    <w:p w14:paraId="5633A4B9">
      <w:pPr>
        <w:widowControl/>
        <w:ind w:firstLine="643" w:firstLineChars="200"/>
        <w:jc w:val="left"/>
        <w:rPr>
          <w:sz w:val="32"/>
          <w:szCs w:val="32"/>
        </w:rPr>
      </w:pPr>
      <w:r>
        <w:rPr>
          <w:rFonts w:hint="eastAsia" w:ascii="仿宋" w:hAnsi="仿宋" w:eastAsia="仿宋" w:cs="仿宋"/>
          <w:b/>
          <w:bCs/>
          <w:color w:val="000000"/>
          <w:kern w:val="0"/>
          <w:sz w:val="32"/>
          <w:szCs w:val="32"/>
          <w:lang w:bidi="ar"/>
        </w:rPr>
        <w:t>第十条</w:t>
      </w:r>
      <w:r>
        <w:rPr>
          <w:rFonts w:hint="eastAsia" w:ascii="仿宋" w:hAnsi="仿宋" w:eastAsia="仿宋" w:cs="仿宋"/>
          <w:color w:val="000000"/>
          <w:kern w:val="0"/>
          <w:sz w:val="32"/>
          <w:szCs w:val="32"/>
          <w:lang w:bidi="ar"/>
        </w:rPr>
        <w:t xml:space="preserve">  本办法从公布之日起执行，最终解释权归华南农业大学材料与</w:t>
      </w:r>
      <w:r>
        <w:rPr>
          <w:rFonts w:hint="eastAsia" w:ascii="仿宋" w:hAnsi="仿宋" w:eastAsia="仿宋" w:cs="仿宋"/>
          <w:color w:val="000000"/>
          <w:kern w:val="0"/>
          <w:sz w:val="32"/>
          <w:szCs w:val="32"/>
          <w:lang w:val="en-US" w:eastAsia="zh-CN" w:bidi="ar"/>
        </w:rPr>
        <w:t>化学工程</w:t>
      </w:r>
      <w:r>
        <w:rPr>
          <w:rFonts w:hint="eastAsia" w:ascii="仿宋" w:hAnsi="仿宋" w:eastAsia="仿宋" w:cs="仿宋"/>
          <w:color w:val="000000"/>
          <w:kern w:val="0"/>
          <w:sz w:val="32"/>
          <w:szCs w:val="32"/>
          <w:lang w:bidi="ar"/>
        </w:rPr>
        <w:t>学院</w:t>
      </w:r>
      <w:r>
        <w:rPr>
          <w:rFonts w:hint="eastAsia" w:ascii="仿宋" w:hAnsi="仿宋" w:eastAsia="仿宋" w:cs="仿宋"/>
          <w:color w:val="000000"/>
          <w:kern w:val="0"/>
          <w:sz w:val="32"/>
          <w:szCs w:val="32"/>
          <w:lang w:val="en-US" w:eastAsia="zh-CN" w:bidi="ar"/>
        </w:rPr>
        <w:t>评审工作小组</w:t>
      </w:r>
      <w:r>
        <w:rPr>
          <w:rFonts w:hint="eastAsia" w:ascii="仿宋" w:hAnsi="仿宋" w:eastAsia="仿宋" w:cs="仿宋"/>
          <w:color w:val="000000"/>
          <w:kern w:val="0"/>
          <w:sz w:val="32"/>
          <w:szCs w:val="32"/>
          <w:lang w:bidi="ar"/>
        </w:rPr>
        <w:t>。</w:t>
      </w:r>
    </w:p>
    <w:p w14:paraId="218E78EA">
      <w:pPr>
        <w:widowControl/>
        <w:jc w:val="right"/>
        <w:rPr>
          <w:rFonts w:hint="eastAsia" w:ascii="仿宋" w:hAnsi="仿宋" w:eastAsia="仿宋" w:cs="仿宋"/>
          <w:color w:val="000000"/>
          <w:kern w:val="0"/>
          <w:sz w:val="28"/>
          <w:szCs w:val="28"/>
          <w:lang w:bidi="ar"/>
        </w:rPr>
      </w:pPr>
    </w:p>
    <w:p w14:paraId="0B21AB75">
      <w:pPr>
        <w:pStyle w:val="2"/>
        <w:spacing w:before="282" w:line="328" w:lineRule="auto"/>
        <w:ind w:left="5" w:right="1" w:firstLine="553"/>
        <w:rPr>
          <w:rFonts w:ascii="仿宋_GB2312" w:eastAsia="仿宋_GB2312" w:hAnsiTheme="minorHAnsi" w:cstheme="minorBidi"/>
          <w:spacing w:val="-4"/>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33BD">
    <w:pPr>
      <w:spacing w:line="167" w:lineRule="auto"/>
      <w:ind w:left="4373"/>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D652">
    <w:pPr>
      <w:spacing w:line="169" w:lineRule="auto"/>
      <w:ind w:left="4382"/>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E647F">
    <w:pPr>
      <w:spacing w:line="168" w:lineRule="auto"/>
      <w:ind w:left="5050"/>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E166D">
    <w:pPr>
      <w:spacing w:line="169" w:lineRule="auto"/>
      <w:ind w:left="5050"/>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0C743F"/>
    <w:rsid w:val="00035076"/>
    <w:rsid w:val="00A84627"/>
    <w:rsid w:val="00E31D25"/>
    <w:rsid w:val="00EC6FBA"/>
    <w:rsid w:val="00FE541F"/>
    <w:rsid w:val="0E183F30"/>
    <w:rsid w:val="270962CA"/>
    <w:rsid w:val="29CE2877"/>
    <w:rsid w:val="2A27165A"/>
    <w:rsid w:val="330C743F"/>
    <w:rsid w:val="4F7A2432"/>
    <w:rsid w:val="569A6B8C"/>
    <w:rsid w:val="587C0C3F"/>
    <w:rsid w:val="73AE768D"/>
    <w:rsid w:val="74267752"/>
    <w:rsid w:val="7CFF4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eastAsia="en-US"/>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0"/>
    <w:rPr>
      <w:rFonts w:asciiTheme="minorHAnsi" w:hAnsiTheme="minorHAnsi" w:eastAsiaTheme="minorEastAsia" w:cstheme="minorBidi"/>
      <w:kern w:val="2"/>
      <w:sz w:val="18"/>
      <w:szCs w:val="18"/>
    </w:rPr>
  </w:style>
  <w:style w:type="table" w:customStyle="1" w:styleId="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10">
    <w:name w:val="Table Text"/>
    <w:basedOn w:val="1"/>
    <w:semiHidden/>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1"/>
      <w:szCs w:val="3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3615</Words>
  <Characters>3794</Characters>
  <Lines>32</Lines>
  <Paragraphs>9</Paragraphs>
  <TotalTime>12</TotalTime>
  <ScaleCrop>false</ScaleCrop>
  <LinksUpToDate>false</LinksUpToDate>
  <CharactersWithSpaces>3840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2025-06-09T01:40:00Z</dcterms:created>
  <dc:creator>acelde</dc:creator>
  <cp:lastModifiedBy>礼韬</cp:lastModifiedBy>
  <cp:lastPrinted>2025-06-05T06:54:00Z</cp:lastPrinted>
  <dcterms:modified xsi:type="dcterms:W3CDTF">2026-03-22T13:30:11Z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432C3DC32CFA4A0D82032FAFF200C9EF_13</vt:lpwstr>
  </property>
  <property fmtid="{D5CDD505-2E9C-101B-9397-08002B2CF9AE}" pid="4" name="KSOTemplateDocerSaveRecord">
    <vt:lpwstr>eyJoZGlkIjoiMWViN2YyYWJhMjRmNjkyMTJjMTUwYzBkNzgzMzBjZWUiLCJ1c2VySWQiOiI0MTMwMTE5MTcifQ==</vt:lpwstr>
  </property>
</Properties>
</file>