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9DC1">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1823182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材料与化学工程学院简介</w:t>
      </w:r>
    </w:p>
    <w:p w14:paraId="179AC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华南农业大学材料与化学工程学院成立于2025年12月，是学校基于高质量服务国家战略需求、前瞻谋划学科发展优化调整而来，对国家“双碳”战略、新材料产业布局、现代农业发展均有着重要意义。</w:t>
      </w:r>
    </w:p>
    <w:p w14:paraId="29E6A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学院拥有以国家级一流专业“应用化学”、省级一流专业“材料化学”“制药工程”、校级一流专业“材料科学与工程”等4个本科专业组成的优质专业群，主建“化学工程与技术”一级学科硕士点和“材料与化工”专业学位授权点，拥有多个省部级科研平台。</w:t>
      </w:r>
    </w:p>
    <w:p w14:paraId="625CE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学院化学学科肇始于二十世纪初我国化合物命名的先驱者利寅先生。经过百余年的建设发展，化学学科稳定在ESI全球排名前1.93‰，材料科学学科排名进入前3.02‰，标志着学院在材料和化学化工领域的研究已具备一定的国际显示度，展现出强劲的发展势头。围绕光学农业材料、碳基新能源材料等方向，学院积极开展交叉学科研究，承担了一批国家自然科学基金、重点研发计划项目，并与行业内多家龙头企业联合攻关，在绿色农药、转光农膜、生物基功能材料、精细化学品、增材制造（3D打印）等领域的技术推广与示范应用中取得了一定经济社会效益。</w:t>
      </w:r>
    </w:p>
    <w:p w14:paraId="2640B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学院坚持落实立德树人根本任务，致力于培养具备崇高理想、家国情怀、过硬本领、务实精神的拔尖创新和行业领军人才，与加拿大UBC、英国纽卡斯尔大学、泰国宋卡王子大学、台湾静宜大学建立了涵盖优本生项目、师资培养、CSC博士培养、X+Y项目和暑期项目等方面的合作办学。现有教职工80人，全日制在读学生1402人（其中，本科生1009人、硕士研究生347人、博士研究生46人）。</w:t>
      </w:r>
    </w:p>
    <w:p w14:paraId="51BB6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学院坚持开放办学，积极向社会输送优秀的人才，主动融入粤港澳大湾区建设，服务广东乡村全面振兴，助力广东“百千万工程”，在新材料和绿色化工领域为广东经济社会高质量发展贡献智慧和力量。</w:t>
      </w:r>
    </w:p>
    <w:p w14:paraId="4EC0BF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default" w:ascii="仿宋_GB2312" w:hAnsi="仿宋_GB2312" w:eastAsia="仿宋_GB2312" w:cs="仿宋_GB2312"/>
          <w:i w:val="0"/>
          <w:iCs w:val="0"/>
          <w:caps w:val="0"/>
          <w:color w:val="auto"/>
          <w:spacing w:val="8"/>
          <w:sz w:val="32"/>
          <w:szCs w:val="32"/>
          <w:lang w:val="en-US" w:eastAsia="zh-CN"/>
        </w:rPr>
      </w:pPr>
      <w:r>
        <w:rPr>
          <w:rFonts w:hint="eastAsia" w:ascii="仿宋_GB2312" w:hAnsi="仿宋_GB2312" w:eastAsia="仿宋_GB2312" w:cs="仿宋_GB2312"/>
          <w:i w:val="0"/>
          <w:iCs w:val="0"/>
          <w:caps w:val="0"/>
          <w:color w:val="auto"/>
          <w:spacing w:val="8"/>
          <w:sz w:val="32"/>
          <w:szCs w:val="32"/>
          <w:lang w:val="en-US" w:eastAsia="zh-CN"/>
        </w:rPr>
        <w:t>（数据截至2026年1月）</w:t>
      </w:r>
    </w:p>
    <w:p w14:paraId="122F29F7">
      <w:pPr>
        <w:jc w:val="both"/>
        <w:rPr>
          <w:rFonts w:hint="default" w:ascii="方正小标宋简体" w:hAnsi="方正小标宋简体" w:eastAsia="方正小标宋简体" w:cs="方正小标宋简体"/>
          <w:sz w:val="44"/>
          <w:szCs w:val="44"/>
          <w:lang w:val="en-US" w:eastAsia="zh-CN"/>
        </w:rPr>
      </w:pPr>
    </w:p>
    <w:p w14:paraId="5B3917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42073"/>
    <w:rsid w:val="56D4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2026-01-12T10:27:00Z</dcterms:created>
  <dc:creator>梁雅晶</dc:creator>
  <cp:lastModifiedBy>梁雅晶</cp:lastModifiedBy>
  <dcterms:modified xsi:type="dcterms:W3CDTF">2026-01-12T10:27:36Z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7112D0DA379943C38559C65454631E8D_11</vt:lpwstr>
  </property>
  <property fmtid="{D5CDD505-2E9C-101B-9397-08002B2CF9AE}" pid="4" name="KSOTemplateDocerSaveRecord">
    <vt:lpwstr>eyJoZGlkIjoiODA1ZmZhNWQ5NTViOTdhNjkwNzFlOGMyYzlhMWJkZDQiLCJ1c2VySWQiOiIyODkxNDQ3MzEifQ==</vt:lpwstr>
  </property>
</Properties>
</file>